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3B" w:rsidRDefault="00583B3B">
      <w:pPr>
        <w:rPr>
          <w:b/>
        </w:rPr>
      </w:pPr>
    </w:p>
    <w:p w:rsidR="0095262F" w:rsidRDefault="0095262F"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0110BA" w:rsidRDefault="000110BA" w:rsidP="0095262F">
      <w:pPr>
        <w:jc w:val="center"/>
      </w:pPr>
    </w:p>
    <w:p w:rsidR="0095262F" w:rsidRDefault="00673624" w:rsidP="0095262F">
      <w:pPr>
        <w:jc w:val="center"/>
      </w:pPr>
      <w:r>
        <w:t xml:space="preserve">Case Study: </w:t>
      </w:r>
      <w:r w:rsidR="00B546A4">
        <w:t>Starwood Hotels &amp; Resorts</w:t>
      </w:r>
    </w:p>
    <w:p w:rsidR="0095262F" w:rsidRDefault="0095262F" w:rsidP="0095262F">
      <w:pPr>
        <w:jc w:val="center"/>
      </w:pPr>
      <w:r>
        <w:t>Joanne Deitsch</w:t>
      </w:r>
    </w:p>
    <w:p w:rsidR="00BA2415" w:rsidRDefault="00EB16BD" w:rsidP="0095262F">
      <w:pPr>
        <w:jc w:val="center"/>
      </w:pPr>
      <w:r>
        <w:t>UMUC</w:t>
      </w:r>
    </w:p>
    <w:p w:rsidR="00BA2415" w:rsidRDefault="00BA2415" w:rsidP="0095262F">
      <w:pPr>
        <w:jc w:val="center"/>
      </w:pPr>
    </w:p>
    <w:p w:rsidR="00BA2415" w:rsidRDefault="00BA2415"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BA2415" w:rsidRDefault="00BA2415" w:rsidP="0095262F">
      <w:pPr>
        <w:jc w:val="center"/>
      </w:pPr>
    </w:p>
    <w:p w:rsidR="00BA2415" w:rsidRDefault="00BA2415" w:rsidP="0095262F">
      <w:pPr>
        <w:jc w:val="center"/>
      </w:pPr>
      <w:r>
        <w:t>Author Note</w:t>
      </w:r>
    </w:p>
    <w:p w:rsidR="00BA2415" w:rsidRDefault="000110BA" w:rsidP="00BA2415">
      <w:pPr>
        <w:ind w:firstLine="720"/>
      </w:pPr>
      <w:r>
        <w:t xml:space="preserve">Correspondence concerning this paper should be addressed to </w:t>
      </w:r>
      <w:r w:rsidR="00BA2415">
        <w:t xml:space="preserve">Joanne Deitsch, 20 Vine Street, #1543, Lansdale, </w:t>
      </w:r>
      <w:r>
        <w:t xml:space="preserve">PA </w:t>
      </w:r>
      <w:r w:rsidR="00BA2415">
        <w:t>19446. E-mail: joanne@joannedeitsch.com</w:t>
      </w:r>
    </w:p>
    <w:p w:rsidR="00BA2415" w:rsidRDefault="00BA2415" w:rsidP="00BA2415">
      <w:pPr>
        <w:ind w:firstLine="720"/>
      </w:pPr>
    </w:p>
    <w:p w:rsidR="00EE0CEE" w:rsidRDefault="00EE0CEE" w:rsidP="00063B6F">
      <w:pPr>
        <w:jc w:val="center"/>
      </w:pPr>
    </w:p>
    <w:p w:rsidR="00903B10" w:rsidRDefault="00F67596" w:rsidP="00063B6F">
      <w:pPr>
        <w:jc w:val="center"/>
      </w:pPr>
      <w:r>
        <w:t xml:space="preserve">Case Study: </w:t>
      </w:r>
      <w:r w:rsidR="004B1557">
        <w:t>Starwood Hotels &amp; Resorts</w:t>
      </w:r>
    </w:p>
    <w:p w:rsidR="00EE0CEE" w:rsidRDefault="00EE0CEE" w:rsidP="00063B6F">
      <w:pPr>
        <w:jc w:val="center"/>
        <w:rPr>
          <w:b/>
          <w:noProof/>
        </w:rPr>
      </w:pPr>
    </w:p>
    <w:p w:rsidR="008D6093" w:rsidRDefault="008D6093" w:rsidP="008D6093">
      <w:pPr>
        <w:spacing w:line="480" w:lineRule="auto"/>
        <w:jc w:val="center"/>
        <w:rPr>
          <w:b/>
          <w:noProof/>
        </w:rPr>
      </w:pPr>
      <w:r w:rsidRPr="008D6093">
        <w:rPr>
          <w:b/>
          <w:noProof/>
        </w:rPr>
        <w:t>Introduction</w:t>
      </w:r>
    </w:p>
    <w:p w:rsidR="008D6093" w:rsidRDefault="001259E3" w:rsidP="008D6093">
      <w:pPr>
        <w:spacing w:line="480" w:lineRule="auto"/>
        <w:ind w:firstLine="720"/>
        <w:rPr>
          <w:noProof/>
        </w:rPr>
      </w:pPr>
      <w:r>
        <w:rPr>
          <w:noProof/>
        </w:rPr>
        <w:t xml:space="preserve">This case study </w:t>
      </w:r>
      <w:r w:rsidR="009E1005">
        <w:rPr>
          <w:noProof/>
        </w:rPr>
        <w:t>explores learning and development at Starwood Hotels and Resorts. Tools and technology, analytics, competencies, job roles, and future</w:t>
      </w:r>
      <w:r w:rsidR="00A64913">
        <w:rPr>
          <w:noProof/>
        </w:rPr>
        <w:t xml:space="preserve"> directions</w:t>
      </w:r>
      <w:r w:rsidR="00A0411B">
        <w:rPr>
          <w:noProof/>
        </w:rPr>
        <w:t xml:space="preserve"> for learning at Starwood</w:t>
      </w:r>
      <w:r w:rsidR="00A64913">
        <w:rPr>
          <w:noProof/>
        </w:rPr>
        <w:t xml:space="preserve"> are discussed.</w:t>
      </w:r>
      <w:r w:rsidR="00A0411B">
        <w:rPr>
          <w:noProof/>
        </w:rPr>
        <w:t xml:space="preserve"> A discussion of the maturity of the learning </w:t>
      </w:r>
      <w:r w:rsidR="0021105C">
        <w:rPr>
          <w:noProof/>
        </w:rPr>
        <w:t>function</w:t>
      </w:r>
      <w:r w:rsidR="000E237A">
        <w:rPr>
          <w:noProof/>
        </w:rPr>
        <w:t xml:space="preserve"> concludes the</w:t>
      </w:r>
      <w:r w:rsidR="00A0411B">
        <w:rPr>
          <w:noProof/>
        </w:rPr>
        <w:t xml:space="preserve"> study</w:t>
      </w:r>
      <w:r w:rsidR="00A64913">
        <w:rPr>
          <w:noProof/>
        </w:rPr>
        <w:t>.</w:t>
      </w:r>
    </w:p>
    <w:p w:rsidR="008D6093" w:rsidRPr="009563C1" w:rsidRDefault="00F67596" w:rsidP="00D9285B">
      <w:pPr>
        <w:spacing w:line="480" w:lineRule="auto"/>
        <w:jc w:val="center"/>
        <w:rPr>
          <w:b/>
          <w:noProof/>
        </w:rPr>
      </w:pPr>
      <w:r>
        <w:rPr>
          <w:b/>
          <w:noProof/>
        </w:rPr>
        <w:t>Description of Organization</w:t>
      </w:r>
    </w:p>
    <w:p w:rsidR="00DA064F" w:rsidRDefault="001259E3" w:rsidP="00E6618F">
      <w:pPr>
        <w:spacing w:line="480" w:lineRule="auto"/>
        <w:ind w:firstLine="720"/>
        <w:rPr>
          <w:noProof/>
        </w:rPr>
      </w:pPr>
      <w:r>
        <w:rPr>
          <w:noProof/>
        </w:rPr>
        <w:t xml:space="preserve">Starwood </w:t>
      </w:r>
      <w:r w:rsidR="00DD07D4">
        <w:rPr>
          <w:noProof/>
        </w:rPr>
        <w:t xml:space="preserve">Hotels and Resorts </w:t>
      </w:r>
      <w:r w:rsidR="00E403D8">
        <w:rPr>
          <w:noProof/>
        </w:rPr>
        <w:t xml:space="preserve">belongs to the hosipitality industry and </w:t>
      </w:r>
      <w:r w:rsidR="00DD07D4">
        <w:rPr>
          <w:noProof/>
        </w:rPr>
        <w:t>operates over 1,500 hotels in 100 countries (</w:t>
      </w:r>
      <w:r w:rsidR="00247570">
        <w:t>Marriott International, Inc.</w:t>
      </w:r>
      <w:r w:rsidR="00247570">
        <w:rPr>
          <w:noProof/>
        </w:rPr>
        <w:t>, 2018).</w:t>
      </w:r>
      <w:r w:rsidR="00E403D8">
        <w:rPr>
          <w:noProof/>
        </w:rPr>
        <w:t xml:space="preserve"> Starwood works as one organization that </w:t>
      </w:r>
      <w:r w:rsidR="003C7FE9">
        <w:rPr>
          <w:noProof/>
        </w:rPr>
        <w:t xml:space="preserve">provides hotel accomodations </w:t>
      </w:r>
      <w:r w:rsidR="00A504FB">
        <w:rPr>
          <w:noProof/>
        </w:rPr>
        <w:t xml:space="preserve">using </w:t>
      </w:r>
      <w:r w:rsidR="00E403D8">
        <w:rPr>
          <w:noProof/>
        </w:rPr>
        <w:t>multiple brands</w:t>
      </w:r>
      <w:r w:rsidR="003C7FE9">
        <w:rPr>
          <w:noProof/>
        </w:rPr>
        <w:t xml:space="preserve"> (</w:t>
      </w:r>
      <w:r w:rsidR="003C7FE9" w:rsidRPr="00E403D8">
        <w:rPr>
          <w:noProof/>
        </w:rPr>
        <w:t>J. Alexander, persona</w:t>
      </w:r>
      <w:r w:rsidR="003C7FE9">
        <w:rPr>
          <w:noProof/>
        </w:rPr>
        <w:t>l communication, March 16, 2018).</w:t>
      </w:r>
      <w:r w:rsidR="00C11CA7">
        <w:rPr>
          <w:noProof/>
        </w:rPr>
        <w:t xml:space="preserve"> Starwood strives to create a “</w:t>
      </w:r>
      <w:r w:rsidR="00CC4C54">
        <w:rPr>
          <w:noProof/>
        </w:rPr>
        <w:t>home away from home</w:t>
      </w:r>
      <w:r w:rsidR="00C11CA7">
        <w:rPr>
          <w:noProof/>
        </w:rPr>
        <w:t>”</w:t>
      </w:r>
      <w:r w:rsidR="00A155E3">
        <w:rPr>
          <w:noProof/>
        </w:rPr>
        <w:t xml:space="preserve"> </w:t>
      </w:r>
      <w:r w:rsidR="00C11CA7">
        <w:rPr>
          <w:noProof/>
        </w:rPr>
        <w:t xml:space="preserve">for guests </w:t>
      </w:r>
      <w:r w:rsidR="00A155E3">
        <w:rPr>
          <w:noProof/>
        </w:rPr>
        <w:t>(</w:t>
      </w:r>
      <w:r w:rsidR="00A155E3" w:rsidRPr="00E403D8">
        <w:rPr>
          <w:noProof/>
        </w:rPr>
        <w:t>J. Alexander, persona</w:t>
      </w:r>
      <w:r w:rsidR="00A155E3">
        <w:rPr>
          <w:noProof/>
        </w:rPr>
        <w:t xml:space="preserve">l communication, March 16, 2018). </w:t>
      </w:r>
      <w:r w:rsidR="000A0B8F">
        <w:rPr>
          <w:noProof/>
        </w:rPr>
        <w:t xml:space="preserve">The </w:t>
      </w:r>
      <w:r w:rsidR="003C7FE9">
        <w:rPr>
          <w:noProof/>
        </w:rPr>
        <w:t>Starwood employs over 100,000 employees</w:t>
      </w:r>
      <w:r w:rsidR="005811A4">
        <w:rPr>
          <w:noProof/>
        </w:rPr>
        <w:t xml:space="preserve"> to ensure that hotel operations meet this standard</w:t>
      </w:r>
      <w:r w:rsidR="00E403D8">
        <w:rPr>
          <w:noProof/>
        </w:rPr>
        <w:t xml:space="preserve"> (</w:t>
      </w:r>
      <w:r w:rsidR="00E403D8" w:rsidRPr="00E403D8">
        <w:rPr>
          <w:noProof/>
        </w:rPr>
        <w:t>J. Alexander, persona</w:t>
      </w:r>
      <w:r w:rsidR="00E403D8">
        <w:rPr>
          <w:noProof/>
        </w:rPr>
        <w:t>l communication, March 16, 2018).</w:t>
      </w:r>
      <w:r w:rsidR="005811A4">
        <w:rPr>
          <w:noProof/>
        </w:rPr>
        <w:t xml:space="preserve"> </w:t>
      </w:r>
    </w:p>
    <w:p w:rsidR="000A0B8F" w:rsidRDefault="000A1A25" w:rsidP="00E6618F">
      <w:pPr>
        <w:spacing w:line="480" w:lineRule="auto"/>
        <w:ind w:firstLine="720"/>
        <w:rPr>
          <w:noProof/>
        </w:rPr>
      </w:pPr>
      <w:r>
        <w:rPr>
          <w:noProof/>
        </w:rPr>
        <w:t>The global learning &amp; development d</w:t>
      </w:r>
      <w:r w:rsidR="00A155E3" w:rsidRPr="00A155E3">
        <w:rPr>
          <w:noProof/>
        </w:rPr>
        <w:t xml:space="preserve">epartment </w:t>
      </w:r>
      <w:r w:rsidR="00CC0C0F">
        <w:rPr>
          <w:noProof/>
        </w:rPr>
        <w:t xml:space="preserve">(GLDD) </w:t>
      </w:r>
      <w:r w:rsidR="00A155E3" w:rsidRPr="00A155E3">
        <w:rPr>
          <w:noProof/>
        </w:rPr>
        <w:t>support</w:t>
      </w:r>
      <w:r w:rsidR="00A155E3">
        <w:rPr>
          <w:noProof/>
        </w:rPr>
        <w:t>e</w:t>
      </w:r>
      <w:r w:rsidR="00A155E3" w:rsidRPr="00A155E3">
        <w:rPr>
          <w:noProof/>
        </w:rPr>
        <w:t xml:space="preserve">d the learning function for operational staff at Starwood brands (J. Alexander, personal communication, March 16, 2018). Learners included front desk staff, housekeepers, and managers (J. Alexander, personal communication, March 16, 2018). Before the Subject Matter Expert's tenure, </w:t>
      </w:r>
      <w:r w:rsidR="00782C25">
        <w:rPr>
          <w:noProof/>
        </w:rPr>
        <w:t xml:space="preserve">each individual hotel handled </w:t>
      </w:r>
      <w:r w:rsidR="00A155E3" w:rsidRPr="00A155E3">
        <w:rPr>
          <w:noProof/>
        </w:rPr>
        <w:t xml:space="preserve">the </w:t>
      </w:r>
      <w:r w:rsidR="00782C25">
        <w:rPr>
          <w:noProof/>
        </w:rPr>
        <w:t xml:space="preserve">learning function </w:t>
      </w:r>
      <w:r w:rsidR="00A155E3" w:rsidRPr="00A155E3">
        <w:rPr>
          <w:noProof/>
        </w:rPr>
        <w:t xml:space="preserve">(J. Alexander, personal communication, March 16, 2018). During </w:t>
      </w:r>
      <w:r w:rsidR="000916C6">
        <w:rPr>
          <w:noProof/>
        </w:rPr>
        <w:t xml:space="preserve">the </w:t>
      </w:r>
      <w:r w:rsidR="00A155E3" w:rsidRPr="00A155E3">
        <w:rPr>
          <w:noProof/>
        </w:rPr>
        <w:t>centralization</w:t>
      </w:r>
      <w:r>
        <w:rPr>
          <w:noProof/>
        </w:rPr>
        <w:t xml:space="preserve"> of learning and development</w:t>
      </w:r>
      <w:r w:rsidR="000916C6">
        <w:rPr>
          <w:noProof/>
        </w:rPr>
        <w:t xml:space="preserve"> function, a learning committee approve</w:t>
      </w:r>
      <w:r w:rsidR="00782C25">
        <w:rPr>
          <w:noProof/>
        </w:rPr>
        <w:t>d</w:t>
      </w:r>
      <w:r w:rsidR="000916C6">
        <w:rPr>
          <w:noProof/>
        </w:rPr>
        <w:t xml:space="preserve"> </w:t>
      </w:r>
      <w:r w:rsidR="000916C6">
        <w:rPr>
          <w:noProof/>
        </w:rPr>
        <w:lastRenderedPageBreak/>
        <w:t>learning projects and serve</w:t>
      </w:r>
      <w:r w:rsidR="00782C25">
        <w:rPr>
          <w:noProof/>
        </w:rPr>
        <w:t>d</w:t>
      </w:r>
      <w:r w:rsidR="000916C6">
        <w:rPr>
          <w:noProof/>
        </w:rPr>
        <w:t xml:space="preserve"> as </w:t>
      </w:r>
      <w:r w:rsidR="000916C6" w:rsidRPr="00A155E3">
        <w:rPr>
          <w:noProof/>
        </w:rPr>
        <w:t>the gatekeeper of the Learning Management System</w:t>
      </w:r>
      <w:r w:rsidR="00A155E3" w:rsidRPr="00A155E3">
        <w:rPr>
          <w:noProof/>
        </w:rPr>
        <w:t xml:space="preserve"> (J. Alexander, personal communication, March 16, 2018). </w:t>
      </w:r>
      <w:r w:rsidR="00EE7E0E">
        <w:rPr>
          <w:noProof/>
        </w:rPr>
        <w:t xml:space="preserve">Individual hotels </w:t>
      </w:r>
      <w:r w:rsidR="00A155E3" w:rsidRPr="00A155E3">
        <w:rPr>
          <w:noProof/>
        </w:rPr>
        <w:t>push</w:t>
      </w:r>
      <w:r w:rsidR="00EE7E0E">
        <w:rPr>
          <w:noProof/>
        </w:rPr>
        <w:t xml:space="preserve">ed back in order to “do their own thing” </w:t>
      </w:r>
      <w:r w:rsidR="00A155E3" w:rsidRPr="00A155E3">
        <w:rPr>
          <w:noProof/>
        </w:rPr>
        <w:t>(J. Alexander, personal communication, March 16, 2018).  Fortunately, senior management championed this change</w:t>
      </w:r>
      <w:r w:rsidR="00F96503">
        <w:rPr>
          <w:noProof/>
        </w:rPr>
        <w:t xml:space="preserve"> and </w:t>
      </w:r>
      <w:r w:rsidR="009E1005">
        <w:rPr>
          <w:noProof/>
        </w:rPr>
        <w:t>supported the</w:t>
      </w:r>
      <w:r w:rsidR="00F96503">
        <w:rPr>
          <w:noProof/>
        </w:rPr>
        <w:t xml:space="preserve"> learning committee </w:t>
      </w:r>
      <w:r w:rsidR="009E1005">
        <w:rPr>
          <w:noProof/>
        </w:rPr>
        <w:t>model</w:t>
      </w:r>
      <w:r w:rsidR="00A155E3" w:rsidRPr="00A155E3">
        <w:rPr>
          <w:noProof/>
        </w:rPr>
        <w:t xml:space="preserve"> (J. Alexander, personal communication, March 16, 2018).</w:t>
      </w:r>
    </w:p>
    <w:p w:rsidR="00C02663" w:rsidRPr="009563C1" w:rsidRDefault="00F67596" w:rsidP="00D9285B">
      <w:pPr>
        <w:spacing w:line="480" w:lineRule="auto"/>
        <w:jc w:val="center"/>
        <w:rPr>
          <w:b/>
          <w:noProof/>
        </w:rPr>
      </w:pPr>
      <w:r>
        <w:rPr>
          <w:b/>
          <w:noProof/>
        </w:rPr>
        <w:t>Case Study Data</w:t>
      </w:r>
    </w:p>
    <w:p w:rsidR="00FE1081" w:rsidRDefault="00D9267E" w:rsidP="006C395B">
      <w:pPr>
        <w:spacing w:line="480" w:lineRule="auto"/>
        <w:ind w:firstLine="720"/>
        <w:rPr>
          <w:noProof/>
        </w:rPr>
      </w:pPr>
      <w:r>
        <w:t xml:space="preserve">The case study discussion starts with a discussion about tools, technology, and analytics. </w:t>
      </w:r>
      <w:r w:rsidR="00E12525">
        <w:t xml:space="preserve">The </w:t>
      </w:r>
      <w:r w:rsidR="00E12525">
        <w:t>Cornerstone Learning Management System</w:t>
      </w:r>
      <w:r w:rsidR="00E12525">
        <w:t xml:space="preserve"> provided r</w:t>
      </w:r>
      <w:r w:rsidR="00CC0C0F">
        <w:t xml:space="preserve">egistration for </w:t>
      </w:r>
      <w:r w:rsidR="00E12525">
        <w:t>Instructor Led Courses and access to on-demand eLearning modules</w:t>
      </w:r>
      <w:r>
        <w:t xml:space="preserve"> </w:t>
      </w:r>
      <w:r w:rsidRPr="00A155E3">
        <w:rPr>
          <w:noProof/>
        </w:rPr>
        <w:t>(J. Alexander, personal communication, March 16, 2018)</w:t>
      </w:r>
      <w:r w:rsidR="00E12525">
        <w:t xml:space="preserve">. </w:t>
      </w:r>
      <w:r w:rsidR="00143BC3">
        <w:t>GLDD used A</w:t>
      </w:r>
      <w:r>
        <w:t xml:space="preserve">DDIE methodology </w:t>
      </w:r>
      <w:r w:rsidR="00143BC3">
        <w:t xml:space="preserve">for </w:t>
      </w:r>
      <w:r>
        <w:t xml:space="preserve">course development </w:t>
      </w:r>
      <w:r w:rsidRPr="00A155E3">
        <w:rPr>
          <w:noProof/>
        </w:rPr>
        <w:t>(J. Alexander, personal communication, March 16, 2018)</w:t>
      </w:r>
      <w:r>
        <w:t xml:space="preserve">. Kirkpatrick Level I surveys were consistently used to evaluate training effectiveness </w:t>
      </w:r>
      <w:r w:rsidRPr="00A155E3">
        <w:rPr>
          <w:noProof/>
        </w:rPr>
        <w:t>(J. Alexander, personal communication, March 16, 2018)</w:t>
      </w:r>
      <w:r>
        <w:rPr>
          <w:noProof/>
        </w:rPr>
        <w:t xml:space="preserve">. </w:t>
      </w:r>
      <w:r w:rsidR="00413C80">
        <w:rPr>
          <w:noProof/>
        </w:rPr>
        <w:t>Planning included f</w:t>
      </w:r>
      <w:r w:rsidR="00413C80" w:rsidRPr="00413C80">
        <w:rPr>
          <w:noProof/>
        </w:rPr>
        <w:t>ocus groups</w:t>
      </w:r>
      <w:r w:rsidR="00413C80">
        <w:rPr>
          <w:noProof/>
        </w:rPr>
        <w:t xml:space="preserve"> </w:t>
      </w:r>
      <w:r w:rsidR="00413C80">
        <w:rPr>
          <w:noProof/>
        </w:rPr>
        <w:t>with managers and</w:t>
      </w:r>
      <w:r w:rsidR="00413C80" w:rsidRPr="00413C80">
        <w:rPr>
          <w:noProof/>
        </w:rPr>
        <w:t xml:space="preserve"> learners</w:t>
      </w:r>
      <w:r w:rsidR="00413C80">
        <w:rPr>
          <w:noProof/>
        </w:rPr>
        <w:t xml:space="preserve"> to take place three to six months after training </w:t>
      </w:r>
      <w:r w:rsidR="00413C80" w:rsidRPr="00A155E3">
        <w:rPr>
          <w:noProof/>
        </w:rPr>
        <w:t>(J. Alexander, personal communication, March 16, 2018)</w:t>
      </w:r>
      <w:r w:rsidR="00413C80">
        <w:rPr>
          <w:noProof/>
        </w:rPr>
        <w:t xml:space="preserve">. However, </w:t>
      </w:r>
      <w:r w:rsidR="00B3237E">
        <w:rPr>
          <w:noProof/>
        </w:rPr>
        <w:t xml:space="preserve">these focus groups were not consistently held </w:t>
      </w:r>
      <w:r w:rsidR="00B3237E" w:rsidRPr="00A155E3">
        <w:rPr>
          <w:noProof/>
        </w:rPr>
        <w:t>(J. Alexander, personal communication, March 16, 2018)</w:t>
      </w:r>
      <w:r w:rsidR="00413C80">
        <w:rPr>
          <w:noProof/>
        </w:rPr>
        <w:t>.</w:t>
      </w:r>
    </w:p>
    <w:p w:rsidR="00C93DA6" w:rsidRDefault="00D51517" w:rsidP="00C74265">
      <w:pPr>
        <w:spacing w:line="480" w:lineRule="auto"/>
        <w:ind w:firstLine="720"/>
        <w:rPr>
          <w:noProof/>
        </w:rPr>
      </w:pPr>
      <w:r>
        <w:t>GLDD</w:t>
      </w:r>
      <w:r w:rsidR="00782C25">
        <w:t xml:space="preserve"> supported the job roles of</w:t>
      </w:r>
      <w:r w:rsidR="0021105C">
        <w:t xml:space="preserve"> front desk staff, housekeepers, and management</w:t>
      </w:r>
      <w:r w:rsidR="00C74265">
        <w:t xml:space="preserve"> </w:t>
      </w:r>
      <w:r w:rsidR="00C74265" w:rsidRPr="00A155E3">
        <w:rPr>
          <w:noProof/>
        </w:rPr>
        <w:t>(J. Alexander, personal communication, March 16, 2018)</w:t>
      </w:r>
      <w:r w:rsidR="00C74265">
        <w:rPr>
          <w:noProof/>
        </w:rPr>
        <w:t>.</w:t>
      </w:r>
      <w:r>
        <w:t xml:space="preserve"> </w:t>
      </w:r>
      <w:r w:rsidR="00C74265">
        <w:t xml:space="preserve"> </w:t>
      </w:r>
      <w:r w:rsidR="0021105C">
        <w:t>Job c</w:t>
      </w:r>
      <w:r>
        <w:t xml:space="preserve">ompetencies were not maintained </w:t>
      </w:r>
      <w:r w:rsidR="0021105C">
        <w:t xml:space="preserve">consistently across </w:t>
      </w:r>
      <w:r w:rsidR="00516C11">
        <w:t>Starwood</w:t>
      </w:r>
      <w:r w:rsidR="00C74265">
        <w:t xml:space="preserve"> </w:t>
      </w:r>
      <w:r w:rsidR="00C74265" w:rsidRPr="00A155E3">
        <w:rPr>
          <w:noProof/>
        </w:rPr>
        <w:t>(J. Alexander, personal communication, March 16, 2018)</w:t>
      </w:r>
      <w:r w:rsidR="00C74265">
        <w:rPr>
          <w:noProof/>
        </w:rPr>
        <w:t>.</w:t>
      </w:r>
      <w:r w:rsidR="00516C11">
        <w:t xml:space="preserve"> Hiring </w:t>
      </w:r>
      <w:r w:rsidR="00C74265">
        <w:t>decisions w</w:t>
      </w:r>
      <w:r w:rsidR="00516C11">
        <w:t>ere made managers</w:t>
      </w:r>
      <w:r w:rsidR="0021105C">
        <w:t xml:space="preserve"> </w:t>
      </w:r>
      <w:r w:rsidR="00516C11">
        <w:t>on a site-by-site basis</w:t>
      </w:r>
      <w:r w:rsidR="00C74265">
        <w:t xml:space="preserve"> as no organizational standards existed</w:t>
      </w:r>
      <w:r w:rsidR="00630A66">
        <w:t xml:space="preserve"> around competencies</w:t>
      </w:r>
      <w:r w:rsidR="00C74265">
        <w:t xml:space="preserve"> </w:t>
      </w:r>
      <w:r w:rsidR="00C74265" w:rsidRPr="00A155E3">
        <w:rPr>
          <w:noProof/>
        </w:rPr>
        <w:t>(J. Alexander, personal communication, March 16, 2018)</w:t>
      </w:r>
      <w:r w:rsidR="00C74265">
        <w:rPr>
          <w:noProof/>
        </w:rPr>
        <w:t>.</w:t>
      </w:r>
      <w:r w:rsidR="00C74265">
        <w:rPr>
          <w:noProof/>
        </w:rPr>
        <w:t xml:space="preserve"> Starwood did not view a multigenerational or diverse workforce as a</w:t>
      </w:r>
      <w:r w:rsidR="00E05BE9">
        <w:rPr>
          <w:noProof/>
        </w:rPr>
        <w:t xml:space="preserve"> challenge </w:t>
      </w:r>
      <w:r w:rsidR="00E05BE9" w:rsidRPr="00A155E3">
        <w:rPr>
          <w:noProof/>
        </w:rPr>
        <w:t>(J. Alexander, personal communication, March 16, 2018)</w:t>
      </w:r>
      <w:r w:rsidR="00E05BE9">
        <w:rPr>
          <w:noProof/>
        </w:rPr>
        <w:t>.</w:t>
      </w:r>
      <w:r w:rsidR="00E05BE9">
        <w:rPr>
          <w:noProof/>
        </w:rPr>
        <w:t xml:space="preserve"> </w:t>
      </w:r>
      <w:r w:rsidR="00C74265">
        <w:rPr>
          <w:noProof/>
        </w:rPr>
        <w:t>The organization embraced change</w:t>
      </w:r>
      <w:r w:rsidR="00C74265">
        <w:rPr>
          <w:noProof/>
        </w:rPr>
        <w:t xml:space="preserve"> and staffers were</w:t>
      </w:r>
      <w:r w:rsidR="00C74265">
        <w:rPr>
          <w:noProof/>
        </w:rPr>
        <w:t xml:space="preserve"> flexible </w:t>
      </w:r>
      <w:r w:rsidR="00C74265">
        <w:rPr>
          <w:noProof/>
        </w:rPr>
        <w:lastRenderedPageBreak/>
        <w:t>about working with colleag</w:t>
      </w:r>
      <w:r w:rsidR="00E05BE9">
        <w:rPr>
          <w:noProof/>
        </w:rPr>
        <w:t xml:space="preserve">ues in different time zones </w:t>
      </w:r>
      <w:r w:rsidR="00E05BE9" w:rsidRPr="00A155E3">
        <w:rPr>
          <w:noProof/>
        </w:rPr>
        <w:t>(J. Alexander, personal communication, March 16, 2018)</w:t>
      </w:r>
      <w:r w:rsidR="00E05BE9">
        <w:rPr>
          <w:noProof/>
        </w:rPr>
        <w:t>.</w:t>
      </w:r>
    </w:p>
    <w:p w:rsidR="0074593A" w:rsidRPr="0074593A" w:rsidRDefault="0074593A" w:rsidP="006C395B">
      <w:pPr>
        <w:spacing w:line="480" w:lineRule="auto"/>
        <w:ind w:firstLine="720"/>
      </w:pPr>
      <w:r>
        <w:t>The global learning audience as well as the fast pa</w:t>
      </w:r>
      <w:r w:rsidR="00535D44">
        <w:t xml:space="preserve">ce of the hospitality industry </w:t>
      </w:r>
      <w:r w:rsidR="00870D12">
        <w:t>requires on-demand learning delivery</w:t>
      </w:r>
      <w:r w:rsidR="00891479">
        <w:t xml:space="preserve"> </w:t>
      </w:r>
      <w:r w:rsidR="00891479" w:rsidRPr="00A155E3">
        <w:rPr>
          <w:noProof/>
        </w:rPr>
        <w:t>(J. Alexander, personal communication, March 16, 2018)</w:t>
      </w:r>
      <w:r w:rsidR="00891479">
        <w:rPr>
          <w:noProof/>
        </w:rPr>
        <w:t>.</w:t>
      </w:r>
      <w:r>
        <w:t xml:space="preserve"> </w:t>
      </w:r>
      <w:r w:rsidR="00782C25">
        <w:t>GLDD considered the following changes for future development</w:t>
      </w:r>
      <w:r w:rsidRPr="0074593A">
        <w:t>:</w:t>
      </w:r>
    </w:p>
    <w:p w:rsidR="0074593A" w:rsidRDefault="0074593A" w:rsidP="0074593A">
      <w:pPr>
        <w:pStyle w:val="ListParagraph"/>
        <w:numPr>
          <w:ilvl w:val="0"/>
          <w:numId w:val="3"/>
        </w:numPr>
        <w:spacing w:line="480" w:lineRule="auto"/>
        <w:rPr>
          <w:rFonts w:ascii="Times New Roman" w:hAnsi="Times New Roman" w:cs="Times New Roman"/>
          <w:sz w:val="24"/>
          <w:szCs w:val="24"/>
        </w:rPr>
      </w:pPr>
      <w:r w:rsidRPr="0074593A">
        <w:rPr>
          <w:rFonts w:ascii="Times New Roman" w:hAnsi="Times New Roman" w:cs="Times New Roman"/>
          <w:sz w:val="24"/>
          <w:szCs w:val="24"/>
        </w:rPr>
        <w:t>M</w:t>
      </w:r>
      <w:r w:rsidR="00CC0C0F" w:rsidRPr="0074593A">
        <w:rPr>
          <w:rFonts w:ascii="Times New Roman" w:hAnsi="Times New Roman" w:cs="Times New Roman"/>
          <w:sz w:val="24"/>
          <w:szCs w:val="24"/>
        </w:rPr>
        <w:t xml:space="preserve">oving from </w:t>
      </w:r>
      <w:r w:rsidR="004E0E42" w:rsidRPr="0074593A">
        <w:rPr>
          <w:rFonts w:ascii="Times New Roman" w:hAnsi="Times New Roman" w:cs="Times New Roman"/>
          <w:sz w:val="24"/>
          <w:szCs w:val="24"/>
        </w:rPr>
        <w:t xml:space="preserve">instructor led training </w:t>
      </w:r>
      <w:r w:rsidR="00CC0C0F" w:rsidRPr="0074593A">
        <w:rPr>
          <w:rFonts w:ascii="Times New Roman" w:hAnsi="Times New Roman" w:cs="Times New Roman"/>
          <w:sz w:val="24"/>
          <w:szCs w:val="24"/>
        </w:rPr>
        <w:t>to virtual and on-demand e</w:t>
      </w:r>
      <w:r w:rsidRPr="0074593A">
        <w:rPr>
          <w:rFonts w:ascii="Times New Roman" w:hAnsi="Times New Roman" w:cs="Times New Roman"/>
          <w:sz w:val="24"/>
          <w:szCs w:val="24"/>
        </w:rPr>
        <w:t>-</w:t>
      </w:r>
      <w:r w:rsidR="00CC0C0F" w:rsidRPr="0074593A">
        <w:rPr>
          <w:rFonts w:ascii="Times New Roman" w:hAnsi="Times New Roman" w:cs="Times New Roman"/>
          <w:sz w:val="24"/>
          <w:szCs w:val="24"/>
        </w:rPr>
        <w:t>learning</w:t>
      </w:r>
      <w:r>
        <w:rPr>
          <w:rFonts w:ascii="Times New Roman" w:hAnsi="Times New Roman" w:cs="Times New Roman"/>
          <w:sz w:val="24"/>
          <w:szCs w:val="24"/>
        </w:rPr>
        <w:t>,</w:t>
      </w:r>
    </w:p>
    <w:p w:rsidR="00E12525" w:rsidRDefault="0074593A" w:rsidP="007459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w:t>
      </w:r>
      <w:r w:rsidR="004E0E42" w:rsidRPr="0074593A">
        <w:rPr>
          <w:rFonts w:ascii="Times New Roman" w:hAnsi="Times New Roman" w:cs="Times New Roman"/>
          <w:sz w:val="24"/>
          <w:szCs w:val="24"/>
        </w:rPr>
        <w:t>ncluding mobile-ready, video micro-learning in the learning catalog</w:t>
      </w:r>
      <w:r>
        <w:rPr>
          <w:rFonts w:ascii="Times New Roman" w:hAnsi="Times New Roman" w:cs="Times New Roman"/>
          <w:sz w:val="24"/>
          <w:szCs w:val="24"/>
        </w:rPr>
        <w:t xml:space="preserve">, </w:t>
      </w:r>
    </w:p>
    <w:p w:rsidR="00B3237E" w:rsidRDefault="00B3237E" w:rsidP="007459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Issuing</w:t>
      </w:r>
      <w:r w:rsidR="00413C80">
        <w:rPr>
          <w:rFonts w:ascii="Times New Roman" w:hAnsi="Times New Roman" w:cs="Times New Roman"/>
          <w:sz w:val="24"/>
          <w:szCs w:val="24"/>
        </w:rPr>
        <w:t xml:space="preserve"> tablets</w:t>
      </w:r>
      <w:r w:rsidR="00E12525">
        <w:rPr>
          <w:rFonts w:ascii="Times New Roman" w:hAnsi="Times New Roman" w:cs="Times New Roman"/>
          <w:sz w:val="24"/>
          <w:szCs w:val="24"/>
        </w:rPr>
        <w:t xml:space="preserve"> to housekeeping staff with just-in-time</w:t>
      </w:r>
      <w:r w:rsidR="00870D12">
        <w:rPr>
          <w:rFonts w:ascii="Times New Roman" w:hAnsi="Times New Roman" w:cs="Times New Roman"/>
          <w:sz w:val="24"/>
          <w:szCs w:val="24"/>
        </w:rPr>
        <w:t xml:space="preserve"> micro-lessons</w:t>
      </w:r>
      <w:r w:rsidR="00E12525">
        <w:rPr>
          <w:rFonts w:ascii="Times New Roman" w:hAnsi="Times New Roman" w:cs="Times New Roman"/>
          <w:sz w:val="24"/>
          <w:szCs w:val="24"/>
        </w:rPr>
        <w:t xml:space="preserve">, </w:t>
      </w:r>
    </w:p>
    <w:p w:rsidR="0074593A" w:rsidRDefault="00B3237E" w:rsidP="0074593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Implementing a system to capture and report on Return on Investment data, </w:t>
      </w:r>
      <w:r w:rsidR="0074593A">
        <w:rPr>
          <w:rFonts w:ascii="Times New Roman" w:hAnsi="Times New Roman" w:cs="Times New Roman"/>
          <w:sz w:val="24"/>
          <w:szCs w:val="24"/>
        </w:rPr>
        <w:t>and</w:t>
      </w:r>
    </w:p>
    <w:p w:rsidR="00A575AE" w:rsidRPr="0074593A" w:rsidRDefault="0074593A" w:rsidP="0089147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Exploiting social media as part of the learning strategy</w:t>
      </w:r>
      <w:r w:rsidR="00891479">
        <w:rPr>
          <w:rFonts w:ascii="Times New Roman" w:hAnsi="Times New Roman" w:cs="Times New Roman"/>
          <w:noProof/>
          <w:sz w:val="24"/>
          <w:szCs w:val="24"/>
        </w:rPr>
        <w:t xml:space="preserve"> </w:t>
      </w:r>
      <w:r w:rsidR="00891479" w:rsidRPr="00891479">
        <w:rPr>
          <w:rFonts w:ascii="Times New Roman" w:hAnsi="Times New Roman" w:cs="Times New Roman"/>
          <w:noProof/>
          <w:sz w:val="24"/>
          <w:szCs w:val="24"/>
        </w:rPr>
        <w:t>(J. Alexander, personal communication, March 16, 2018).</w:t>
      </w:r>
    </w:p>
    <w:p w:rsidR="009E1591" w:rsidRPr="009563C1" w:rsidRDefault="00F67596" w:rsidP="009E1591">
      <w:pPr>
        <w:spacing w:line="480" w:lineRule="auto"/>
        <w:jc w:val="center"/>
        <w:rPr>
          <w:b/>
          <w:noProof/>
        </w:rPr>
      </w:pPr>
      <w:r>
        <w:rPr>
          <w:b/>
          <w:noProof/>
        </w:rPr>
        <w:t>Analysis of Learning and Development Maturity</w:t>
      </w:r>
    </w:p>
    <w:p w:rsidR="00E834BB" w:rsidRDefault="00891479" w:rsidP="00E834BB">
      <w:pPr>
        <w:spacing w:line="480" w:lineRule="auto"/>
        <w:ind w:firstLine="720"/>
        <w:rPr>
          <w:noProof/>
        </w:rPr>
      </w:pPr>
      <w:r>
        <w:rPr>
          <w:noProof/>
        </w:rPr>
        <w:t xml:space="preserve">Using the </w:t>
      </w:r>
      <w:r w:rsidRPr="00891479">
        <w:rPr>
          <w:noProof/>
        </w:rPr>
        <w:t>Case study stages of learning and d</w:t>
      </w:r>
      <w:r>
        <w:rPr>
          <w:noProof/>
        </w:rPr>
        <w:t>evelopment capability/maturity (2013), the student author ranks Starwood’s GLDD at stage 2</w:t>
      </w:r>
      <w:r w:rsidR="001B089D">
        <w:rPr>
          <w:noProof/>
        </w:rPr>
        <w:t xml:space="preserve"> </w:t>
      </w:r>
      <w:r w:rsidR="005811A4">
        <w:rPr>
          <w:noProof/>
        </w:rPr>
        <w:t>as shown in Table 1 below</w:t>
      </w:r>
      <w:r w:rsidR="001B089D">
        <w:rPr>
          <w:noProof/>
        </w:rPr>
        <w:t>:</w:t>
      </w:r>
    </w:p>
    <w:p w:rsidR="00891479" w:rsidRDefault="00891479" w:rsidP="00891479">
      <w:r>
        <w:t>Table 1</w:t>
      </w:r>
    </w:p>
    <w:p w:rsidR="00891479" w:rsidRDefault="00891479" w:rsidP="00891479">
      <w:pPr>
        <w:spacing w:line="480" w:lineRule="auto"/>
        <w:rPr>
          <w:i/>
        </w:rPr>
      </w:pPr>
      <w:r>
        <w:rPr>
          <w:i/>
        </w:rPr>
        <w:t>Stage of L&amp;D Maturity Matrix Analysis</w:t>
      </w:r>
    </w:p>
    <w:tbl>
      <w:tblPr>
        <w:tblStyle w:val="TableGrid"/>
        <w:tblW w:w="0" w:type="auto"/>
        <w:tblLook w:val="04A0" w:firstRow="1" w:lastRow="0" w:firstColumn="1" w:lastColumn="0" w:noHBand="0" w:noVBand="1"/>
      </w:tblPr>
      <w:tblGrid>
        <w:gridCol w:w="3708"/>
        <w:gridCol w:w="5868"/>
      </w:tblGrid>
      <w:tr w:rsidR="001B089D" w:rsidTr="006E7328">
        <w:tc>
          <w:tcPr>
            <w:tcW w:w="3708" w:type="dxa"/>
          </w:tcPr>
          <w:p w:rsidR="001B089D" w:rsidRPr="001B089D" w:rsidRDefault="00E60EE9" w:rsidP="00891479">
            <w:pPr>
              <w:spacing w:line="480" w:lineRule="auto"/>
              <w:rPr>
                <w:b/>
              </w:rPr>
            </w:pPr>
            <w:r>
              <w:rPr>
                <w:b/>
              </w:rPr>
              <w:t xml:space="preserve">Stage 2 </w:t>
            </w:r>
            <w:r w:rsidR="001B089D" w:rsidRPr="001B089D">
              <w:rPr>
                <w:b/>
              </w:rPr>
              <w:t>Criteria</w:t>
            </w:r>
          </w:p>
        </w:tc>
        <w:tc>
          <w:tcPr>
            <w:tcW w:w="5868" w:type="dxa"/>
          </w:tcPr>
          <w:p w:rsidR="001B089D" w:rsidRPr="001B089D" w:rsidRDefault="001B089D" w:rsidP="006E7328">
            <w:pPr>
              <w:rPr>
                <w:b/>
              </w:rPr>
            </w:pPr>
            <w:r w:rsidRPr="001B089D">
              <w:rPr>
                <w:b/>
              </w:rPr>
              <w:t>Evidence</w:t>
            </w:r>
            <w:r w:rsidR="006E7328">
              <w:rPr>
                <w:b/>
              </w:rPr>
              <w:t xml:space="preserve"> </w:t>
            </w:r>
            <w:r w:rsidR="006E7328" w:rsidRPr="00F82F04">
              <w:rPr>
                <w:b/>
              </w:rPr>
              <w:t xml:space="preserve">Per </w:t>
            </w:r>
            <w:r w:rsidR="006E7328" w:rsidRPr="00F82F04">
              <w:rPr>
                <w:b/>
                <w:noProof/>
              </w:rPr>
              <w:t>J. Alexander</w:t>
            </w:r>
            <w:r w:rsidR="006E7328">
              <w:rPr>
                <w:noProof/>
              </w:rPr>
              <w:t xml:space="preserve"> (</w:t>
            </w:r>
            <w:r w:rsidR="006E7328" w:rsidRPr="00A155E3">
              <w:rPr>
                <w:noProof/>
              </w:rPr>
              <w:t>personal communication, March 16, 2018)</w:t>
            </w:r>
          </w:p>
        </w:tc>
      </w:tr>
      <w:tr w:rsidR="001B089D" w:rsidTr="006E7328">
        <w:tc>
          <w:tcPr>
            <w:tcW w:w="3708" w:type="dxa"/>
          </w:tcPr>
          <w:p w:rsidR="001B089D" w:rsidRDefault="001B089D" w:rsidP="0056769A">
            <w:r>
              <w:t>Organization LMS</w:t>
            </w:r>
          </w:p>
          <w:p w:rsidR="001B089D" w:rsidRPr="00564B4C" w:rsidRDefault="001B089D" w:rsidP="0056769A">
            <w:r>
              <w:t>eLearning Competency Model</w:t>
            </w:r>
          </w:p>
        </w:tc>
        <w:tc>
          <w:tcPr>
            <w:tcW w:w="5868" w:type="dxa"/>
          </w:tcPr>
          <w:p w:rsidR="001B089D" w:rsidRDefault="006E7328" w:rsidP="00E11711">
            <w:pPr>
              <w:spacing w:line="276" w:lineRule="auto"/>
            </w:pPr>
            <w:r>
              <w:t>Cornerstone Learning Management System</w:t>
            </w:r>
          </w:p>
        </w:tc>
      </w:tr>
      <w:tr w:rsidR="001B089D" w:rsidTr="006E7328">
        <w:tc>
          <w:tcPr>
            <w:tcW w:w="3708" w:type="dxa"/>
          </w:tcPr>
          <w:p w:rsidR="001B089D" w:rsidRDefault="001B089D" w:rsidP="0056769A">
            <w:r>
              <w:t>T&amp;D Excellence</w:t>
            </w:r>
          </w:p>
        </w:tc>
        <w:tc>
          <w:tcPr>
            <w:tcW w:w="5868" w:type="dxa"/>
          </w:tcPr>
          <w:p w:rsidR="001B089D" w:rsidRDefault="006E7328" w:rsidP="00EE7E0E">
            <w:pPr>
              <w:spacing w:line="276" w:lineRule="auto"/>
            </w:pPr>
            <w:r>
              <w:t xml:space="preserve">Central </w:t>
            </w:r>
            <w:r>
              <w:rPr>
                <w:noProof/>
              </w:rPr>
              <w:t>learning committee</w:t>
            </w:r>
            <w:r>
              <w:rPr>
                <w:noProof/>
              </w:rPr>
              <w:t xml:space="preserve"> </w:t>
            </w:r>
            <w:r w:rsidR="00EE7E0E">
              <w:rPr>
                <w:noProof/>
              </w:rPr>
              <w:t>vets</w:t>
            </w:r>
            <w:r>
              <w:rPr>
                <w:noProof/>
              </w:rPr>
              <w:t xml:space="preserve"> the qual</w:t>
            </w:r>
            <w:r w:rsidR="00EE7E0E">
              <w:rPr>
                <w:noProof/>
              </w:rPr>
              <w:t>ity of learning projects</w:t>
            </w:r>
          </w:p>
        </w:tc>
      </w:tr>
      <w:tr w:rsidR="001B089D" w:rsidTr="006E7328">
        <w:tc>
          <w:tcPr>
            <w:tcW w:w="3708" w:type="dxa"/>
          </w:tcPr>
          <w:p w:rsidR="001B089D" w:rsidRPr="00564B4C" w:rsidRDefault="001B089D" w:rsidP="0056769A">
            <w:r>
              <w:t>Quantitative &amp; Qualitative</w:t>
            </w:r>
          </w:p>
        </w:tc>
        <w:tc>
          <w:tcPr>
            <w:tcW w:w="5868" w:type="dxa"/>
          </w:tcPr>
          <w:p w:rsidR="001B089D" w:rsidRDefault="006E7328" w:rsidP="00E11711">
            <w:pPr>
              <w:spacing w:line="276" w:lineRule="auto"/>
            </w:pPr>
            <w:r>
              <w:t>Use of Kirkpatrick Level I evaluations</w:t>
            </w:r>
          </w:p>
        </w:tc>
      </w:tr>
      <w:tr w:rsidR="001B089D" w:rsidTr="006E7328">
        <w:tc>
          <w:tcPr>
            <w:tcW w:w="3708" w:type="dxa"/>
          </w:tcPr>
          <w:p w:rsidR="001B089D" w:rsidRPr="00564B4C" w:rsidRDefault="001B089D" w:rsidP="0056769A">
            <w:r>
              <w:t>Change Readiness</w:t>
            </w:r>
          </w:p>
        </w:tc>
        <w:tc>
          <w:tcPr>
            <w:tcW w:w="5868" w:type="dxa"/>
          </w:tcPr>
          <w:p w:rsidR="001B089D" w:rsidRDefault="00F82F04" w:rsidP="00E11711">
            <w:pPr>
              <w:spacing w:line="276" w:lineRule="auto"/>
            </w:pPr>
            <w:r>
              <w:t>The hospitality industry forces GLDD to adapt to the fast pace of</w:t>
            </w:r>
            <w:r w:rsidR="00143BC3">
              <w:t xml:space="preserve"> a changing business environment</w:t>
            </w:r>
            <w:bookmarkStart w:id="0" w:name="_GoBack"/>
            <w:bookmarkEnd w:id="0"/>
          </w:p>
        </w:tc>
      </w:tr>
      <w:tr w:rsidR="001B089D" w:rsidTr="006E7328">
        <w:tc>
          <w:tcPr>
            <w:tcW w:w="3708" w:type="dxa"/>
          </w:tcPr>
          <w:p w:rsidR="001B089D" w:rsidRPr="00564B4C" w:rsidRDefault="001B089D" w:rsidP="0056769A">
            <w:r>
              <w:lastRenderedPageBreak/>
              <w:t>Planned</w:t>
            </w:r>
          </w:p>
        </w:tc>
        <w:tc>
          <w:tcPr>
            <w:tcW w:w="5868" w:type="dxa"/>
          </w:tcPr>
          <w:p w:rsidR="001B089D" w:rsidRDefault="00EE7E0E" w:rsidP="00E11711">
            <w:pPr>
              <w:spacing w:line="276" w:lineRule="auto"/>
            </w:pPr>
            <w:r>
              <w:t xml:space="preserve">Central </w:t>
            </w:r>
            <w:r>
              <w:rPr>
                <w:noProof/>
              </w:rPr>
              <w:t>learning committee vets the quality of learning projects</w:t>
            </w:r>
          </w:p>
        </w:tc>
      </w:tr>
      <w:tr w:rsidR="001B089D" w:rsidTr="006E7328">
        <w:tc>
          <w:tcPr>
            <w:tcW w:w="3708" w:type="dxa"/>
          </w:tcPr>
          <w:p w:rsidR="001B089D" w:rsidRDefault="001B089D" w:rsidP="0056769A">
            <w:r>
              <w:t>Consolidation of Operations</w:t>
            </w:r>
          </w:p>
        </w:tc>
        <w:tc>
          <w:tcPr>
            <w:tcW w:w="5868" w:type="dxa"/>
          </w:tcPr>
          <w:p w:rsidR="001B089D" w:rsidRDefault="00F82F04" w:rsidP="00E11711">
            <w:pPr>
              <w:spacing w:line="276" w:lineRule="auto"/>
            </w:pPr>
            <w:r>
              <w:t>A centralized learning and development organization serves as the gatekeeper for new projects and Learning Management System content</w:t>
            </w:r>
          </w:p>
        </w:tc>
      </w:tr>
      <w:tr w:rsidR="001B089D" w:rsidTr="006E7328">
        <w:tc>
          <w:tcPr>
            <w:tcW w:w="3708" w:type="dxa"/>
          </w:tcPr>
          <w:p w:rsidR="001B089D" w:rsidRDefault="001B089D" w:rsidP="0056769A">
            <w:r>
              <w:t>Information</w:t>
            </w:r>
          </w:p>
        </w:tc>
        <w:tc>
          <w:tcPr>
            <w:tcW w:w="5868" w:type="dxa"/>
          </w:tcPr>
          <w:p w:rsidR="001B089D" w:rsidRDefault="00E11711" w:rsidP="00E11711">
            <w:pPr>
              <w:spacing w:line="276" w:lineRule="auto"/>
            </w:pPr>
            <w:r>
              <w:t>Learning focus on operational topics such as how to make a bed or the correct cleaning supplies to use for cleaning a room.</w:t>
            </w:r>
          </w:p>
        </w:tc>
      </w:tr>
    </w:tbl>
    <w:p w:rsidR="0018317E" w:rsidRDefault="00E834BB">
      <w:pPr>
        <w:rPr>
          <w:b/>
          <w:noProof/>
        </w:rPr>
      </w:pPr>
      <w:r>
        <w:rPr>
          <w:b/>
          <w:noProof/>
        </w:rPr>
        <w:br w:type="page"/>
      </w:r>
    </w:p>
    <w:p w:rsidR="006A3BA9" w:rsidRDefault="00711379" w:rsidP="00711379">
      <w:pPr>
        <w:spacing w:line="480" w:lineRule="auto"/>
        <w:jc w:val="center"/>
      </w:pPr>
      <w:r>
        <w:lastRenderedPageBreak/>
        <w:t>References</w:t>
      </w:r>
    </w:p>
    <w:p w:rsidR="001259E3" w:rsidRDefault="001259E3" w:rsidP="000110BA">
      <w:pPr>
        <w:spacing w:line="480" w:lineRule="auto"/>
        <w:ind w:left="720" w:hanging="720"/>
      </w:pPr>
      <w:r>
        <w:t>Case study stages of learning and development capability/maturity. (2013).</w:t>
      </w:r>
    </w:p>
    <w:p w:rsidR="00DD07D4" w:rsidRDefault="00DD07D4" w:rsidP="000110BA">
      <w:pPr>
        <w:spacing w:line="480" w:lineRule="auto"/>
        <w:ind w:left="720" w:hanging="720"/>
      </w:pPr>
      <w:r>
        <w:t>Marriott International, Inc.</w:t>
      </w:r>
      <w:r>
        <w:rPr>
          <w:noProof/>
        </w:rPr>
        <w:t xml:space="preserve"> (2018). </w:t>
      </w:r>
      <w:r w:rsidR="00247570" w:rsidRPr="00247570">
        <w:rPr>
          <w:noProof/>
        </w:rPr>
        <w:t xml:space="preserve">Travel inside the world of SPG </w:t>
      </w:r>
      <w:r w:rsidR="00247570">
        <w:rPr>
          <w:noProof/>
        </w:rPr>
        <w:t xml:space="preserve">[Web Page]. </w:t>
      </w:r>
      <w:r>
        <w:rPr>
          <w:noProof/>
        </w:rPr>
        <w:t xml:space="preserve">Retrieved from </w:t>
      </w:r>
      <w:r w:rsidRPr="00DD07D4">
        <w:rPr>
          <w:noProof/>
        </w:rPr>
        <w:t>https://www.starwoodhotels.com/preferredguest/about/index.html?categoryId=brand.benefits.overview</w:t>
      </w:r>
    </w:p>
    <w:sectPr w:rsidR="00DD07D4" w:rsidSect="009217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5E" w:rsidRDefault="00E2605E" w:rsidP="00921778">
      <w:pPr>
        <w:spacing w:after="0" w:line="240" w:lineRule="auto"/>
      </w:pPr>
      <w:r>
        <w:separator/>
      </w:r>
    </w:p>
  </w:endnote>
  <w:endnote w:type="continuationSeparator" w:id="0">
    <w:p w:rsidR="00E2605E" w:rsidRDefault="00E2605E"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5E" w:rsidRDefault="00E2605E" w:rsidP="00921778">
      <w:pPr>
        <w:spacing w:after="0" w:line="240" w:lineRule="auto"/>
      </w:pPr>
      <w:r>
        <w:separator/>
      </w:r>
    </w:p>
  </w:footnote>
  <w:footnote w:type="continuationSeparator" w:id="0">
    <w:p w:rsidR="00E2605E" w:rsidRDefault="00E2605E"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673624">
    <w:pPr>
      <w:pStyle w:val="Header"/>
    </w:pPr>
    <w:r>
      <w:t xml:space="preserve">CASE STUDY: </w:t>
    </w:r>
    <w:r w:rsidR="004B1557">
      <w:t>STARWOOD HOTELS &amp; RESORTS</w:t>
    </w:r>
    <w:r w:rsidR="006A3BA9">
      <w:tab/>
    </w:r>
    <w:r>
      <w:tab/>
    </w:r>
    <w:r w:rsidR="006A3BA9">
      <w:fldChar w:fldCharType="begin"/>
    </w:r>
    <w:r w:rsidR="006A3BA9">
      <w:instrText xml:space="preserve"> PAGE   \* MERGEFORMAT </w:instrText>
    </w:r>
    <w:r w:rsidR="006A3BA9">
      <w:fldChar w:fldCharType="separate"/>
    </w:r>
    <w:r w:rsidR="00143BC3">
      <w:rPr>
        <w:noProof/>
      </w:rPr>
      <w:t>4</w:t>
    </w:r>
    <w:r w:rsidR="006A3BA9">
      <w:rPr>
        <w:noProof/>
      </w:rPr>
      <w:fldChar w:fldCharType="end"/>
    </w:r>
  </w:p>
  <w:p w:rsidR="00921778" w:rsidRDefault="00921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921778">
    <w:pPr>
      <w:pStyle w:val="Header"/>
    </w:pPr>
    <w:r>
      <w:t xml:space="preserve">Running Head: </w:t>
    </w:r>
    <w:r w:rsidR="00673624">
      <w:t>CASE STUDY:</w:t>
    </w:r>
    <w:r w:rsidR="00B546A4">
      <w:t xml:space="preserve"> STARWOOD HOTELS &amp; RESORTS</w:t>
    </w:r>
    <w:r w:rsidR="00E345BA">
      <w:tab/>
    </w:r>
    <w:r>
      <w:tab/>
    </w:r>
    <w:r>
      <w:fldChar w:fldCharType="begin"/>
    </w:r>
    <w:r>
      <w:instrText xml:space="preserve"> PAGE   \* MERGEFORMAT </w:instrText>
    </w:r>
    <w:r>
      <w:fldChar w:fldCharType="separate"/>
    </w:r>
    <w:r w:rsidR="00782C25">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EE8"/>
    <w:multiLevelType w:val="hybridMultilevel"/>
    <w:tmpl w:val="8C7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D0D70"/>
    <w:multiLevelType w:val="hybridMultilevel"/>
    <w:tmpl w:val="63FAD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A1D2F"/>
    <w:multiLevelType w:val="hybridMultilevel"/>
    <w:tmpl w:val="0DE802F2"/>
    <w:lvl w:ilvl="0" w:tplc="E3EEDDB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E279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6C8487B"/>
    <w:multiLevelType w:val="hybridMultilevel"/>
    <w:tmpl w:val="96D6FDAC"/>
    <w:lvl w:ilvl="0" w:tplc="B0F09540">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6F73BE"/>
    <w:multiLevelType w:val="hybridMultilevel"/>
    <w:tmpl w:val="53D0CF6A"/>
    <w:lvl w:ilvl="0" w:tplc="B0F0954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0041E"/>
    <w:rsid w:val="000012D3"/>
    <w:rsid w:val="000110BA"/>
    <w:rsid w:val="0002201E"/>
    <w:rsid w:val="000362C0"/>
    <w:rsid w:val="00054B9D"/>
    <w:rsid w:val="00063B6F"/>
    <w:rsid w:val="000810EB"/>
    <w:rsid w:val="00082D01"/>
    <w:rsid w:val="000865A4"/>
    <w:rsid w:val="000916C6"/>
    <w:rsid w:val="000A0B8F"/>
    <w:rsid w:val="000A1A25"/>
    <w:rsid w:val="000C3D4E"/>
    <w:rsid w:val="000D04DC"/>
    <w:rsid w:val="000D1FF2"/>
    <w:rsid w:val="000E237A"/>
    <w:rsid w:val="000E6EA3"/>
    <w:rsid w:val="000F1D5A"/>
    <w:rsid w:val="00104C02"/>
    <w:rsid w:val="001259E3"/>
    <w:rsid w:val="00141BAB"/>
    <w:rsid w:val="00143BC3"/>
    <w:rsid w:val="00145D98"/>
    <w:rsid w:val="00146433"/>
    <w:rsid w:val="00160F3D"/>
    <w:rsid w:val="0018317E"/>
    <w:rsid w:val="001940B8"/>
    <w:rsid w:val="001B089D"/>
    <w:rsid w:val="001B4BBC"/>
    <w:rsid w:val="001D0907"/>
    <w:rsid w:val="001F359A"/>
    <w:rsid w:val="001F4AA8"/>
    <w:rsid w:val="00210360"/>
    <w:rsid w:val="0021105C"/>
    <w:rsid w:val="00217C76"/>
    <w:rsid w:val="00247570"/>
    <w:rsid w:val="00251DD5"/>
    <w:rsid w:val="0025289D"/>
    <w:rsid w:val="00256D91"/>
    <w:rsid w:val="0029580C"/>
    <w:rsid w:val="002A7EE2"/>
    <w:rsid w:val="002E5038"/>
    <w:rsid w:val="00324AF8"/>
    <w:rsid w:val="00345220"/>
    <w:rsid w:val="003567A8"/>
    <w:rsid w:val="00367A4A"/>
    <w:rsid w:val="00391DBC"/>
    <w:rsid w:val="003A3521"/>
    <w:rsid w:val="003B0E51"/>
    <w:rsid w:val="003C3149"/>
    <w:rsid w:val="003C7FE9"/>
    <w:rsid w:val="003D42E0"/>
    <w:rsid w:val="003E0DCC"/>
    <w:rsid w:val="003F6BF0"/>
    <w:rsid w:val="00413C80"/>
    <w:rsid w:val="004157ED"/>
    <w:rsid w:val="00477D67"/>
    <w:rsid w:val="00480F01"/>
    <w:rsid w:val="004A523E"/>
    <w:rsid w:val="004A731C"/>
    <w:rsid w:val="004B1557"/>
    <w:rsid w:val="004B26D9"/>
    <w:rsid w:val="004C1C18"/>
    <w:rsid w:val="004D447E"/>
    <w:rsid w:val="004E0E42"/>
    <w:rsid w:val="004E7E97"/>
    <w:rsid w:val="00516C11"/>
    <w:rsid w:val="00535D44"/>
    <w:rsid w:val="00550C22"/>
    <w:rsid w:val="005618B6"/>
    <w:rsid w:val="005811A4"/>
    <w:rsid w:val="00583B3B"/>
    <w:rsid w:val="00586871"/>
    <w:rsid w:val="00587298"/>
    <w:rsid w:val="005A455A"/>
    <w:rsid w:val="005F61BD"/>
    <w:rsid w:val="005F7578"/>
    <w:rsid w:val="00603163"/>
    <w:rsid w:val="00615428"/>
    <w:rsid w:val="00617549"/>
    <w:rsid w:val="00630A66"/>
    <w:rsid w:val="00630D34"/>
    <w:rsid w:val="00633EFC"/>
    <w:rsid w:val="00651AF3"/>
    <w:rsid w:val="006568AC"/>
    <w:rsid w:val="00660192"/>
    <w:rsid w:val="00667DD5"/>
    <w:rsid w:val="00673624"/>
    <w:rsid w:val="006934B7"/>
    <w:rsid w:val="00695209"/>
    <w:rsid w:val="006972A6"/>
    <w:rsid w:val="006A3BA9"/>
    <w:rsid w:val="006C349A"/>
    <w:rsid w:val="006C395B"/>
    <w:rsid w:val="006D18C4"/>
    <w:rsid w:val="006E7328"/>
    <w:rsid w:val="00711379"/>
    <w:rsid w:val="007134FA"/>
    <w:rsid w:val="00723A16"/>
    <w:rsid w:val="0074593A"/>
    <w:rsid w:val="00780C45"/>
    <w:rsid w:val="00782C25"/>
    <w:rsid w:val="00796F7C"/>
    <w:rsid w:val="007B1BBE"/>
    <w:rsid w:val="007B2E75"/>
    <w:rsid w:val="007C59D4"/>
    <w:rsid w:val="00801481"/>
    <w:rsid w:val="00811D18"/>
    <w:rsid w:val="0081502A"/>
    <w:rsid w:val="00825CA2"/>
    <w:rsid w:val="00847BC9"/>
    <w:rsid w:val="0085115B"/>
    <w:rsid w:val="00870D12"/>
    <w:rsid w:val="0087120D"/>
    <w:rsid w:val="0088280D"/>
    <w:rsid w:val="00885497"/>
    <w:rsid w:val="00891479"/>
    <w:rsid w:val="00891BBE"/>
    <w:rsid w:val="008C1869"/>
    <w:rsid w:val="008D4561"/>
    <w:rsid w:val="008D6093"/>
    <w:rsid w:val="008F4284"/>
    <w:rsid w:val="00903B10"/>
    <w:rsid w:val="009159D3"/>
    <w:rsid w:val="00921778"/>
    <w:rsid w:val="00945602"/>
    <w:rsid w:val="0095262F"/>
    <w:rsid w:val="009563C1"/>
    <w:rsid w:val="00982172"/>
    <w:rsid w:val="00992356"/>
    <w:rsid w:val="009A1DEA"/>
    <w:rsid w:val="009B2AC1"/>
    <w:rsid w:val="009E0EBE"/>
    <w:rsid w:val="009E1005"/>
    <w:rsid w:val="009E12EE"/>
    <w:rsid w:val="009E1341"/>
    <w:rsid w:val="009E1591"/>
    <w:rsid w:val="009F6E86"/>
    <w:rsid w:val="00A0411B"/>
    <w:rsid w:val="00A155E3"/>
    <w:rsid w:val="00A23A0E"/>
    <w:rsid w:val="00A47459"/>
    <w:rsid w:val="00A504FB"/>
    <w:rsid w:val="00A575AE"/>
    <w:rsid w:val="00A64913"/>
    <w:rsid w:val="00A75DF1"/>
    <w:rsid w:val="00AB0CF0"/>
    <w:rsid w:val="00AB603F"/>
    <w:rsid w:val="00AF3544"/>
    <w:rsid w:val="00AF54FF"/>
    <w:rsid w:val="00B255C9"/>
    <w:rsid w:val="00B3237E"/>
    <w:rsid w:val="00B36DE9"/>
    <w:rsid w:val="00B43A91"/>
    <w:rsid w:val="00B5008C"/>
    <w:rsid w:val="00B546A4"/>
    <w:rsid w:val="00B56623"/>
    <w:rsid w:val="00B83823"/>
    <w:rsid w:val="00B9373F"/>
    <w:rsid w:val="00B94571"/>
    <w:rsid w:val="00BA2415"/>
    <w:rsid w:val="00BB23ED"/>
    <w:rsid w:val="00BE33EB"/>
    <w:rsid w:val="00BE3745"/>
    <w:rsid w:val="00BE43AF"/>
    <w:rsid w:val="00BE538A"/>
    <w:rsid w:val="00BE7BF4"/>
    <w:rsid w:val="00C02663"/>
    <w:rsid w:val="00C061AC"/>
    <w:rsid w:val="00C11CA7"/>
    <w:rsid w:val="00C25016"/>
    <w:rsid w:val="00C47228"/>
    <w:rsid w:val="00C64780"/>
    <w:rsid w:val="00C6536B"/>
    <w:rsid w:val="00C74265"/>
    <w:rsid w:val="00C850E3"/>
    <w:rsid w:val="00C93DA6"/>
    <w:rsid w:val="00C97234"/>
    <w:rsid w:val="00CC0C0F"/>
    <w:rsid w:val="00CC4C54"/>
    <w:rsid w:val="00CC5DAB"/>
    <w:rsid w:val="00CE77A7"/>
    <w:rsid w:val="00CE7ED5"/>
    <w:rsid w:val="00CF3684"/>
    <w:rsid w:val="00D048BF"/>
    <w:rsid w:val="00D13C9D"/>
    <w:rsid w:val="00D244B9"/>
    <w:rsid w:val="00D51517"/>
    <w:rsid w:val="00D52EFD"/>
    <w:rsid w:val="00D63EF5"/>
    <w:rsid w:val="00D67AEB"/>
    <w:rsid w:val="00D80928"/>
    <w:rsid w:val="00D85503"/>
    <w:rsid w:val="00D9267E"/>
    <w:rsid w:val="00D9285B"/>
    <w:rsid w:val="00DA064F"/>
    <w:rsid w:val="00DC23A3"/>
    <w:rsid w:val="00DC2FD3"/>
    <w:rsid w:val="00DC70AB"/>
    <w:rsid w:val="00DC799E"/>
    <w:rsid w:val="00DD07D4"/>
    <w:rsid w:val="00DD1DA9"/>
    <w:rsid w:val="00DE1C63"/>
    <w:rsid w:val="00DE7035"/>
    <w:rsid w:val="00DF2C5B"/>
    <w:rsid w:val="00DF2DAD"/>
    <w:rsid w:val="00E05BE9"/>
    <w:rsid w:val="00E11711"/>
    <w:rsid w:val="00E12525"/>
    <w:rsid w:val="00E14A6C"/>
    <w:rsid w:val="00E2605E"/>
    <w:rsid w:val="00E33854"/>
    <w:rsid w:val="00E345BA"/>
    <w:rsid w:val="00E403D8"/>
    <w:rsid w:val="00E50397"/>
    <w:rsid w:val="00E53BC9"/>
    <w:rsid w:val="00E60EE9"/>
    <w:rsid w:val="00E6618F"/>
    <w:rsid w:val="00E76281"/>
    <w:rsid w:val="00E77589"/>
    <w:rsid w:val="00E834BB"/>
    <w:rsid w:val="00EA7F4E"/>
    <w:rsid w:val="00EB16BD"/>
    <w:rsid w:val="00EC1EC6"/>
    <w:rsid w:val="00EE0CEE"/>
    <w:rsid w:val="00EE3CA0"/>
    <w:rsid w:val="00EE7E0E"/>
    <w:rsid w:val="00F070B8"/>
    <w:rsid w:val="00F15E29"/>
    <w:rsid w:val="00F33155"/>
    <w:rsid w:val="00F54718"/>
    <w:rsid w:val="00F54BDB"/>
    <w:rsid w:val="00F54FF1"/>
    <w:rsid w:val="00F661CD"/>
    <w:rsid w:val="00F67596"/>
    <w:rsid w:val="00F82F04"/>
    <w:rsid w:val="00F96503"/>
    <w:rsid w:val="00FA00B4"/>
    <w:rsid w:val="00FB7F26"/>
    <w:rsid w:val="00FE1081"/>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semiHidden/>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semiHidden/>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468">
      <w:bodyDiv w:val="1"/>
      <w:marLeft w:val="0"/>
      <w:marRight w:val="0"/>
      <w:marTop w:val="0"/>
      <w:marBottom w:val="0"/>
      <w:divBdr>
        <w:top w:val="none" w:sz="0" w:space="0" w:color="auto"/>
        <w:left w:val="none" w:sz="0" w:space="0" w:color="auto"/>
        <w:bottom w:val="none" w:sz="0" w:space="0" w:color="auto"/>
        <w:right w:val="none" w:sz="0" w:space="0" w:color="auto"/>
      </w:divBdr>
    </w:div>
    <w:div w:id="186679254">
      <w:bodyDiv w:val="1"/>
      <w:marLeft w:val="0"/>
      <w:marRight w:val="0"/>
      <w:marTop w:val="0"/>
      <w:marBottom w:val="0"/>
      <w:divBdr>
        <w:top w:val="none" w:sz="0" w:space="0" w:color="auto"/>
        <w:left w:val="none" w:sz="0" w:space="0" w:color="auto"/>
        <w:bottom w:val="none" w:sz="0" w:space="0" w:color="auto"/>
        <w:right w:val="none" w:sz="0" w:space="0" w:color="auto"/>
      </w:divBdr>
    </w:div>
    <w:div w:id="1811434622">
      <w:bodyDiv w:val="1"/>
      <w:marLeft w:val="0"/>
      <w:marRight w:val="0"/>
      <w:marTop w:val="0"/>
      <w:marBottom w:val="0"/>
      <w:divBdr>
        <w:top w:val="none" w:sz="0" w:space="0" w:color="auto"/>
        <w:left w:val="none" w:sz="0" w:space="0" w:color="auto"/>
        <w:bottom w:val="none" w:sz="0" w:space="0" w:color="auto"/>
        <w:right w:val="none" w:sz="0" w:space="0" w:color="auto"/>
      </w:divBdr>
      <w:divsChild>
        <w:div w:id="1193615925">
          <w:marLeft w:val="0"/>
          <w:marRight w:val="0"/>
          <w:marTop w:val="0"/>
          <w:marBottom w:val="0"/>
          <w:divBdr>
            <w:top w:val="none" w:sz="0" w:space="0" w:color="auto"/>
            <w:left w:val="none" w:sz="0" w:space="0" w:color="auto"/>
            <w:bottom w:val="none" w:sz="0" w:space="0" w:color="auto"/>
            <w:right w:val="none" w:sz="0" w:space="0" w:color="auto"/>
          </w:divBdr>
        </w:div>
        <w:div w:id="1497922274">
          <w:marLeft w:val="0"/>
          <w:marRight w:val="0"/>
          <w:marTop w:val="0"/>
          <w:marBottom w:val="0"/>
          <w:divBdr>
            <w:top w:val="none" w:sz="0" w:space="0" w:color="auto"/>
            <w:left w:val="none" w:sz="0" w:space="0" w:color="auto"/>
            <w:bottom w:val="none" w:sz="0" w:space="0" w:color="auto"/>
            <w:right w:val="none" w:sz="0" w:space="0" w:color="auto"/>
          </w:divBdr>
        </w:div>
        <w:div w:id="1692876255">
          <w:marLeft w:val="0"/>
          <w:marRight w:val="0"/>
          <w:marTop w:val="0"/>
          <w:marBottom w:val="0"/>
          <w:divBdr>
            <w:top w:val="none" w:sz="0" w:space="0" w:color="auto"/>
            <w:left w:val="none" w:sz="0" w:space="0" w:color="auto"/>
            <w:bottom w:val="none" w:sz="0" w:space="0" w:color="auto"/>
            <w:right w:val="none" w:sz="0" w:space="0" w:color="auto"/>
          </w:divBdr>
        </w:div>
        <w:div w:id="726416443">
          <w:marLeft w:val="0"/>
          <w:marRight w:val="0"/>
          <w:marTop w:val="0"/>
          <w:marBottom w:val="0"/>
          <w:divBdr>
            <w:top w:val="none" w:sz="0" w:space="0" w:color="auto"/>
            <w:left w:val="none" w:sz="0" w:space="0" w:color="auto"/>
            <w:bottom w:val="none" w:sz="0" w:space="0" w:color="auto"/>
            <w:right w:val="none" w:sz="0" w:space="0" w:color="auto"/>
          </w:divBdr>
        </w:div>
        <w:div w:id="708526910">
          <w:marLeft w:val="0"/>
          <w:marRight w:val="0"/>
          <w:marTop w:val="0"/>
          <w:marBottom w:val="0"/>
          <w:divBdr>
            <w:top w:val="none" w:sz="0" w:space="0" w:color="auto"/>
            <w:left w:val="none" w:sz="0" w:space="0" w:color="auto"/>
            <w:bottom w:val="none" w:sz="0" w:space="0" w:color="auto"/>
            <w:right w:val="none" w:sz="0" w:space="0" w:color="auto"/>
          </w:divBdr>
        </w:div>
        <w:div w:id="1247617989">
          <w:marLeft w:val="0"/>
          <w:marRight w:val="0"/>
          <w:marTop w:val="0"/>
          <w:marBottom w:val="0"/>
          <w:divBdr>
            <w:top w:val="none" w:sz="0" w:space="0" w:color="auto"/>
            <w:left w:val="none" w:sz="0" w:space="0" w:color="auto"/>
            <w:bottom w:val="none" w:sz="0" w:space="0" w:color="auto"/>
            <w:right w:val="none" w:sz="0" w:space="0" w:color="auto"/>
          </w:divBdr>
        </w:div>
        <w:div w:id="1632636627">
          <w:marLeft w:val="0"/>
          <w:marRight w:val="0"/>
          <w:marTop w:val="0"/>
          <w:marBottom w:val="0"/>
          <w:divBdr>
            <w:top w:val="none" w:sz="0" w:space="0" w:color="auto"/>
            <w:left w:val="none" w:sz="0" w:space="0" w:color="auto"/>
            <w:bottom w:val="none" w:sz="0" w:space="0" w:color="auto"/>
            <w:right w:val="none" w:sz="0" w:space="0" w:color="auto"/>
          </w:divBdr>
        </w:div>
        <w:div w:id="1157648898">
          <w:marLeft w:val="0"/>
          <w:marRight w:val="0"/>
          <w:marTop w:val="0"/>
          <w:marBottom w:val="0"/>
          <w:divBdr>
            <w:top w:val="none" w:sz="0" w:space="0" w:color="auto"/>
            <w:left w:val="none" w:sz="0" w:space="0" w:color="auto"/>
            <w:bottom w:val="none" w:sz="0" w:space="0" w:color="auto"/>
            <w:right w:val="none" w:sz="0" w:space="0" w:color="auto"/>
          </w:divBdr>
        </w:div>
        <w:div w:id="1161578053">
          <w:marLeft w:val="0"/>
          <w:marRight w:val="0"/>
          <w:marTop w:val="0"/>
          <w:marBottom w:val="0"/>
          <w:divBdr>
            <w:top w:val="none" w:sz="0" w:space="0" w:color="auto"/>
            <w:left w:val="none" w:sz="0" w:space="0" w:color="auto"/>
            <w:bottom w:val="none" w:sz="0" w:space="0" w:color="auto"/>
            <w:right w:val="none" w:sz="0" w:space="0" w:color="auto"/>
          </w:divBdr>
        </w:div>
        <w:div w:id="1790466032">
          <w:marLeft w:val="0"/>
          <w:marRight w:val="0"/>
          <w:marTop w:val="0"/>
          <w:marBottom w:val="0"/>
          <w:divBdr>
            <w:top w:val="none" w:sz="0" w:space="0" w:color="auto"/>
            <w:left w:val="none" w:sz="0" w:space="0" w:color="auto"/>
            <w:bottom w:val="none" w:sz="0" w:space="0" w:color="auto"/>
            <w:right w:val="none" w:sz="0" w:space="0" w:color="auto"/>
          </w:divBdr>
        </w:div>
        <w:div w:id="974526953">
          <w:marLeft w:val="0"/>
          <w:marRight w:val="0"/>
          <w:marTop w:val="0"/>
          <w:marBottom w:val="0"/>
          <w:divBdr>
            <w:top w:val="none" w:sz="0" w:space="0" w:color="auto"/>
            <w:left w:val="none" w:sz="0" w:space="0" w:color="auto"/>
            <w:bottom w:val="none" w:sz="0" w:space="0" w:color="auto"/>
            <w:right w:val="none" w:sz="0" w:space="0" w:color="auto"/>
          </w:divBdr>
        </w:div>
        <w:div w:id="422459272">
          <w:marLeft w:val="0"/>
          <w:marRight w:val="0"/>
          <w:marTop w:val="0"/>
          <w:marBottom w:val="0"/>
          <w:divBdr>
            <w:top w:val="none" w:sz="0" w:space="0" w:color="auto"/>
            <w:left w:val="none" w:sz="0" w:space="0" w:color="auto"/>
            <w:bottom w:val="none" w:sz="0" w:space="0" w:color="auto"/>
            <w:right w:val="none" w:sz="0" w:space="0" w:color="auto"/>
          </w:divBdr>
        </w:div>
        <w:div w:id="2074698752">
          <w:marLeft w:val="0"/>
          <w:marRight w:val="0"/>
          <w:marTop w:val="0"/>
          <w:marBottom w:val="0"/>
          <w:divBdr>
            <w:top w:val="none" w:sz="0" w:space="0" w:color="auto"/>
            <w:left w:val="none" w:sz="0" w:space="0" w:color="auto"/>
            <w:bottom w:val="none" w:sz="0" w:space="0" w:color="auto"/>
            <w:right w:val="none" w:sz="0" w:space="0" w:color="auto"/>
          </w:divBdr>
        </w:div>
        <w:div w:id="2115706145">
          <w:marLeft w:val="0"/>
          <w:marRight w:val="0"/>
          <w:marTop w:val="0"/>
          <w:marBottom w:val="0"/>
          <w:divBdr>
            <w:top w:val="none" w:sz="0" w:space="0" w:color="auto"/>
            <w:left w:val="none" w:sz="0" w:space="0" w:color="auto"/>
            <w:bottom w:val="none" w:sz="0" w:space="0" w:color="auto"/>
            <w:right w:val="none" w:sz="0" w:space="0" w:color="auto"/>
          </w:divBdr>
        </w:div>
        <w:div w:id="501817919">
          <w:marLeft w:val="0"/>
          <w:marRight w:val="0"/>
          <w:marTop w:val="0"/>
          <w:marBottom w:val="0"/>
          <w:divBdr>
            <w:top w:val="none" w:sz="0" w:space="0" w:color="auto"/>
            <w:left w:val="none" w:sz="0" w:space="0" w:color="auto"/>
            <w:bottom w:val="none" w:sz="0" w:space="0" w:color="auto"/>
            <w:right w:val="none" w:sz="0" w:space="0" w:color="auto"/>
          </w:divBdr>
        </w:div>
        <w:div w:id="1293635520">
          <w:marLeft w:val="0"/>
          <w:marRight w:val="0"/>
          <w:marTop w:val="0"/>
          <w:marBottom w:val="0"/>
          <w:divBdr>
            <w:top w:val="none" w:sz="0" w:space="0" w:color="auto"/>
            <w:left w:val="none" w:sz="0" w:space="0" w:color="auto"/>
            <w:bottom w:val="none" w:sz="0" w:space="0" w:color="auto"/>
            <w:right w:val="none" w:sz="0" w:space="0" w:color="auto"/>
          </w:divBdr>
        </w:div>
        <w:div w:id="242380244">
          <w:marLeft w:val="0"/>
          <w:marRight w:val="0"/>
          <w:marTop w:val="0"/>
          <w:marBottom w:val="0"/>
          <w:divBdr>
            <w:top w:val="none" w:sz="0" w:space="0" w:color="auto"/>
            <w:left w:val="none" w:sz="0" w:space="0" w:color="auto"/>
            <w:bottom w:val="none" w:sz="0" w:space="0" w:color="auto"/>
            <w:right w:val="none" w:sz="0" w:space="0" w:color="auto"/>
          </w:divBdr>
        </w:div>
        <w:div w:id="469575">
          <w:marLeft w:val="0"/>
          <w:marRight w:val="0"/>
          <w:marTop w:val="0"/>
          <w:marBottom w:val="0"/>
          <w:divBdr>
            <w:top w:val="none" w:sz="0" w:space="0" w:color="auto"/>
            <w:left w:val="none" w:sz="0" w:space="0" w:color="auto"/>
            <w:bottom w:val="none" w:sz="0" w:space="0" w:color="auto"/>
            <w:right w:val="none" w:sz="0" w:space="0" w:color="auto"/>
          </w:divBdr>
        </w:div>
        <w:div w:id="1851942017">
          <w:marLeft w:val="0"/>
          <w:marRight w:val="0"/>
          <w:marTop w:val="0"/>
          <w:marBottom w:val="0"/>
          <w:divBdr>
            <w:top w:val="none" w:sz="0" w:space="0" w:color="auto"/>
            <w:left w:val="none" w:sz="0" w:space="0" w:color="auto"/>
            <w:bottom w:val="none" w:sz="0" w:space="0" w:color="auto"/>
            <w:right w:val="none" w:sz="0" w:space="0" w:color="auto"/>
          </w:divBdr>
        </w:div>
        <w:div w:id="112781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948F-5B4C-4810-9E6F-A007D46D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2854</TotalTime>
  <Pages>6</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Home</cp:lastModifiedBy>
  <cp:revision>70</cp:revision>
  <dcterms:created xsi:type="dcterms:W3CDTF">2013-10-02T00:58:00Z</dcterms:created>
  <dcterms:modified xsi:type="dcterms:W3CDTF">2018-03-19T01:26:00Z</dcterms:modified>
</cp:coreProperties>
</file>