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3B" w:rsidRDefault="00583B3B">
      <w:pPr>
        <w:rPr>
          <w:b/>
        </w:rPr>
      </w:pPr>
    </w:p>
    <w:p w:rsidR="0095262F" w:rsidRDefault="0095262F"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0110BA" w:rsidRDefault="000110BA" w:rsidP="0095262F">
      <w:pPr>
        <w:jc w:val="center"/>
      </w:pPr>
    </w:p>
    <w:p w:rsidR="0095262F" w:rsidRDefault="00EB16BD" w:rsidP="0095262F">
      <w:pPr>
        <w:jc w:val="center"/>
      </w:pPr>
      <w:r>
        <w:t>ATD Competencies Self-Assessment</w:t>
      </w:r>
    </w:p>
    <w:p w:rsidR="0095262F" w:rsidRDefault="0095262F" w:rsidP="0095262F">
      <w:pPr>
        <w:jc w:val="center"/>
      </w:pPr>
      <w:r>
        <w:t>Joanne Deitsch</w:t>
      </w:r>
    </w:p>
    <w:p w:rsidR="00BA2415" w:rsidRDefault="00EB16BD" w:rsidP="0095262F">
      <w:pPr>
        <w:jc w:val="center"/>
      </w:pPr>
      <w:r>
        <w:t>UMUC</w:t>
      </w:r>
    </w:p>
    <w:p w:rsidR="00BA2415" w:rsidRDefault="00BA2415" w:rsidP="0095262F">
      <w:pPr>
        <w:jc w:val="center"/>
      </w:pPr>
    </w:p>
    <w:p w:rsidR="00BA2415" w:rsidRDefault="00BA2415"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BA2415" w:rsidRDefault="00BA2415" w:rsidP="0095262F">
      <w:pPr>
        <w:jc w:val="center"/>
      </w:pPr>
    </w:p>
    <w:p w:rsidR="00BA2415" w:rsidRDefault="00BA2415" w:rsidP="0095262F">
      <w:pPr>
        <w:jc w:val="center"/>
      </w:pPr>
      <w:r>
        <w:t>Author Note</w:t>
      </w:r>
    </w:p>
    <w:p w:rsidR="00BA2415" w:rsidRDefault="000110BA" w:rsidP="00BA2415">
      <w:pPr>
        <w:ind w:firstLine="720"/>
      </w:pPr>
      <w:r>
        <w:t xml:space="preserve">Correspondence concerning this paper should be addressed to </w:t>
      </w:r>
      <w:r w:rsidR="00BA2415">
        <w:t xml:space="preserve">Joanne Deitsch, 20 Vine Street, #1543, Lansdale, </w:t>
      </w:r>
      <w:r>
        <w:t xml:space="preserve">PA </w:t>
      </w:r>
      <w:r w:rsidR="00BA2415">
        <w:t>19446. E-mail: joanne@joannedeitsch.com</w:t>
      </w:r>
    </w:p>
    <w:p w:rsidR="00BA2415" w:rsidRDefault="00BA2415" w:rsidP="00BA2415">
      <w:pPr>
        <w:ind w:firstLine="720"/>
      </w:pPr>
    </w:p>
    <w:p w:rsidR="00EE0CEE" w:rsidRDefault="00EE0CEE" w:rsidP="00063B6F">
      <w:pPr>
        <w:jc w:val="center"/>
      </w:pPr>
    </w:p>
    <w:p w:rsidR="00903B10" w:rsidRDefault="001F4AA8" w:rsidP="00063B6F">
      <w:pPr>
        <w:jc w:val="center"/>
      </w:pPr>
      <w:r>
        <w:t xml:space="preserve">Association for Talent Development (ATD) </w:t>
      </w:r>
      <w:r w:rsidR="00FA00B4">
        <w:t>Competencies Self-Assessment</w:t>
      </w:r>
    </w:p>
    <w:p w:rsidR="00EE0CEE" w:rsidRDefault="00EE0CEE" w:rsidP="00063B6F">
      <w:pPr>
        <w:jc w:val="center"/>
        <w:rPr>
          <w:b/>
          <w:noProof/>
        </w:rPr>
      </w:pPr>
    </w:p>
    <w:p w:rsidR="008D6093" w:rsidRDefault="008D6093" w:rsidP="008D6093">
      <w:pPr>
        <w:spacing w:line="480" w:lineRule="auto"/>
        <w:jc w:val="center"/>
        <w:rPr>
          <w:b/>
          <w:noProof/>
        </w:rPr>
      </w:pPr>
      <w:r w:rsidRPr="008D6093">
        <w:rPr>
          <w:b/>
          <w:noProof/>
        </w:rPr>
        <w:t>Introduction</w:t>
      </w:r>
    </w:p>
    <w:p w:rsidR="008D6093" w:rsidRDefault="008F4284" w:rsidP="008D6093">
      <w:pPr>
        <w:spacing w:line="480" w:lineRule="auto"/>
        <w:ind w:firstLine="720"/>
        <w:rPr>
          <w:noProof/>
        </w:rPr>
      </w:pPr>
      <w:r>
        <w:rPr>
          <w:noProof/>
        </w:rPr>
        <w:t xml:space="preserve">This paper </w:t>
      </w:r>
      <w:r w:rsidR="001F4AA8">
        <w:rPr>
          <w:noProof/>
        </w:rPr>
        <w:t xml:space="preserve">assesses </w:t>
      </w:r>
      <w:r w:rsidR="00D244B9">
        <w:rPr>
          <w:noProof/>
        </w:rPr>
        <w:t xml:space="preserve">the </w:t>
      </w:r>
      <w:r w:rsidR="001F4AA8">
        <w:rPr>
          <w:noProof/>
        </w:rPr>
        <w:t xml:space="preserve">student author’s competencies </w:t>
      </w:r>
      <w:r w:rsidR="00C061AC">
        <w:rPr>
          <w:noProof/>
        </w:rPr>
        <w:t>as measured against the</w:t>
      </w:r>
      <w:r w:rsidR="001F4AA8">
        <w:rPr>
          <w:noProof/>
        </w:rPr>
        <w:t xml:space="preserve"> </w:t>
      </w:r>
      <w:r w:rsidR="001F4AA8">
        <w:t>A</w:t>
      </w:r>
      <w:r w:rsidR="00796F7C">
        <w:t>ssociation for Talent Development</w:t>
      </w:r>
      <w:r w:rsidR="00AF54FF">
        <w:t>’s</w:t>
      </w:r>
      <w:r w:rsidR="00796F7C">
        <w:t xml:space="preserve"> (ATD)</w:t>
      </w:r>
      <w:r w:rsidR="001F4AA8">
        <w:t xml:space="preserve"> c</w:t>
      </w:r>
      <w:r w:rsidR="001F4AA8" w:rsidRPr="00EA7F4E">
        <w:t xml:space="preserve">ompetency </w:t>
      </w:r>
      <w:r w:rsidR="001F4AA8">
        <w:t>m</w:t>
      </w:r>
      <w:r w:rsidR="001F4AA8" w:rsidRPr="00EA7F4E">
        <w:t>odel</w:t>
      </w:r>
      <w:r w:rsidR="00C061AC">
        <w:t xml:space="preserve"> (ATD, 2018). Foundational competencies, areas of e</w:t>
      </w:r>
      <w:r w:rsidR="00C061AC" w:rsidRPr="00C061AC">
        <w:t>xpertise</w:t>
      </w:r>
      <w:r w:rsidR="00C061AC">
        <w:t xml:space="preserve">, and </w:t>
      </w:r>
      <w:r w:rsidR="009E0EBE">
        <w:t xml:space="preserve">plans for closing skills gaps </w:t>
      </w:r>
      <w:r w:rsidR="00C061AC">
        <w:t>are discussed.</w:t>
      </w:r>
      <w:r w:rsidR="009E0EBE">
        <w:t xml:space="preserve"> A completed action planning for </w:t>
      </w:r>
      <w:bookmarkStart w:id="0" w:name="_GoBack"/>
      <w:bookmarkEnd w:id="0"/>
      <w:r w:rsidR="00F33155">
        <w:t>individuals’</w:t>
      </w:r>
      <w:r w:rsidR="009E0EBE">
        <w:t xml:space="preserve"> job aid </w:t>
      </w:r>
      <w:r w:rsidR="00903B10">
        <w:t xml:space="preserve">forms part of this discussion </w:t>
      </w:r>
      <w:r w:rsidR="009E0EBE">
        <w:t>(ATD, 2014).</w:t>
      </w:r>
    </w:p>
    <w:p w:rsidR="008D6093" w:rsidRPr="009563C1" w:rsidRDefault="00DF2DAD" w:rsidP="00D9285B">
      <w:pPr>
        <w:spacing w:line="480" w:lineRule="auto"/>
        <w:jc w:val="center"/>
        <w:rPr>
          <w:b/>
          <w:noProof/>
        </w:rPr>
      </w:pPr>
      <w:r>
        <w:rPr>
          <w:b/>
          <w:noProof/>
        </w:rPr>
        <w:t>Foundational Competencies</w:t>
      </w:r>
    </w:p>
    <w:p w:rsidR="00B43A91" w:rsidRDefault="00145D98" w:rsidP="00C25016">
      <w:pPr>
        <w:spacing w:line="480" w:lineRule="auto"/>
        <w:ind w:firstLine="720"/>
        <w:rPr>
          <w:noProof/>
        </w:rPr>
      </w:pPr>
      <w:r>
        <w:rPr>
          <w:noProof/>
        </w:rPr>
        <w:t>The</w:t>
      </w:r>
      <w:r w:rsidR="00D67AEB">
        <w:rPr>
          <w:noProof/>
        </w:rPr>
        <w:t xml:space="preserve"> areas that are most important the student author’s current position are business skills and personal sk</w:t>
      </w:r>
      <w:r w:rsidR="00DA064F">
        <w:rPr>
          <w:noProof/>
        </w:rPr>
        <w:t>ills</w:t>
      </w:r>
      <w:r>
        <w:rPr>
          <w:noProof/>
        </w:rPr>
        <w:t xml:space="preserve"> followed by interpersonal skills and technology literacy</w:t>
      </w:r>
      <w:r w:rsidR="00DA064F">
        <w:rPr>
          <w:noProof/>
        </w:rPr>
        <w:t xml:space="preserve">. </w:t>
      </w:r>
      <w:r w:rsidR="000D1FF2">
        <w:rPr>
          <w:noProof/>
        </w:rPr>
        <w:t xml:space="preserve">Table 1 at the end of this section provides a completed ATD Foundational Assessment for the student author. </w:t>
      </w:r>
      <w:r w:rsidR="00DA064F">
        <w:rPr>
          <w:noProof/>
        </w:rPr>
        <w:t xml:space="preserve">The student </w:t>
      </w:r>
      <w:r w:rsidR="00651AF3">
        <w:rPr>
          <w:noProof/>
        </w:rPr>
        <w:t>author has succesful</w:t>
      </w:r>
      <w:r w:rsidR="007C59D4">
        <w:rPr>
          <w:noProof/>
        </w:rPr>
        <w:t>l</w:t>
      </w:r>
      <w:r w:rsidR="00651AF3">
        <w:rPr>
          <w:noProof/>
        </w:rPr>
        <w:t xml:space="preserve">y completed of </w:t>
      </w:r>
      <w:r w:rsidR="00AB0CF0">
        <w:rPr>
          <w:noProof/>
        </w:rPr>
        <w:t xml:space="preserve">dozens of </w:t>
      </w:r>
      <w:r w:rsidR="00651AF3">
        <w:rPr>
          <w:noProof/>
        </w:rPr>
        <w:t xml:space="preserve">learning projects from the initial analysis through implementation and evaluation </w:t>
      </w:r>
      <w:r w:rsidR="00AF54FF">
        <w:rPr>
          <w:noProof/>
        </w:rPr>
        <w:t>in a professional capacity at</w:t>
      </w:r>
      <w:r w:rsidR="00AB0CF0">
        <w:rPr>
          <w:noProof/>
        </w:rPr>
        <w:t xml:space="preserve"> four different organizations</w:t>
      </w:r>
      <w:r>
        <w:rPr>
          <w:noProof/>
        </w:rPr>
        <w:t xml:space="preserve"> over a ten year period</w:t>
      </w:r>
      <w:r w:rsidR="00847BC9">
        <w:rPr>
          <w:noProof/>
        </w:rPr>
        <w:t xml:space="preserve">. </w:t>
      </w:r>
      <w:r>
        <w:rPr>
          <w:noProof/>
        </w:rPr>
        <w:t>A current project requires the student author to develop a strategy around implenting virtual learning.  The studen author actively participates in industry events sponsored by eLearning Guild (http://elearningguild.com), the Pennsylvania/Delaware/New Jersey Distance Education Association (http://</w:t>
      </w:r>
      <w:r w:rsidRPr="00891BBE">
        <w:rPr>
          <w:noProof/>
        </w:rPr>
        <w:t>padla.org</w:t>
      </w:r>
      <w:r>
        <w:rPr>
          <w:noProof/>
        </w:rPr>
        <w:t xml:space="preserve">), and the Greater Philadelphia Chapter of the Association for Talent Development (http://tdphl.org). </w:t>
      </w:r>
    </w:p>
    <w:p w:rsidR="006568AC" w:rsidRDefault="00B43A91" w:rsidP="00C25016">
      <w:pPr>
        <w:spacing w:line="480" w:lineRule="auto"/>
        <w:ind w:firstLine="720"/>
        <w:rPr>
          <w:noProof/>
        </w:rPr>
      </w:pPr>
      <w:r>
        <w:rPr>
          <w:noProof/>
        </w:rPr>
        <w:t xml:space="preserve">The </w:t>
      </w:r>
      <w:r w:rsidR="00C64780">
        <w:rPr>
          <w:noProof/>
        </w:rPr>
        <w:t>next two areas of importance are</w:t>
      </w:r>
      <w:r>
        <w:rPr>
          <w:noProof/>
        </w:rPr>
        <w:t xml:space="preserve"> interpersonal skills and technology literacy</w:t>
      </w:r>
      <w:r w:rsidR="00C64780">
        <w:rPr>
          <w:noProof/>
        </w:rPr>
        <w:t xml:space="preserve">. The student author has learned how to build relationships with peers and subject matter experts to successfully complete learning projects. </w:t>
      </w:r>
      <w:r w:rsidR="00945602">
        <w:rPr>
          <w:noProof/>
        </w:rPr>
        <w:t xml:space="preserve">The student author must constantly update technical </w:t>
      </w:r>
      <w:r w:rsidR="00945602">
        <w:rPr>
          <w:noProof/>
        </w:rPr>
        <w:lastRenderedPageBreak/>
        <w:t>skills</w:t>
      </w:r>
      <w:r w:rsidR="003F6BF0">
        <w:rPr>
          <w:noProof/>
        </w:rPr>
        <w:t xml:space="preserve"> as</w:t>
      </w:r>
      <w:r w:rsidR="009F6E86">
        <w:rPr>
          <w:noProof/>
        </w:rPr>
        <w:t xml:space="preserve"> the</w:t>
      </w:r>
      <w:r w:rsidR="003F6BF0">
        <w:rPr>
          <w:noProof/>
        </w:rPr>
        <w:t xml:space="preserve"> training solutions developed involve</w:t>
      </w:r>
      <w:r w:rsidR="00BE7BF4">
        <w:rPr>
          <w:noProof/>
        </w:rPr>
        <w:t xml:space="preserve"> software application training</w:t>
      </w:r>
      <w:r w:rsidR="00603163">
        <w:rPr>
          <w:noProof/>
        </w:rPr>
        <w:t>.</w:t>
      </w:r>
      <w:r w:rsidR="00145D98">
        <w:rPr>
          <w:noProof/>
        </w:rPr>
        <w:t xml:space="preserve"> The student author also demonstrates competency with virtual learning platforms including Adobe</w:t>
      </w:r>
      <w:r w:rsidR="00063B6F">
        <w:rPr>
          <w:noProof/>
        </w:rPr>
        <w:t xml:space="preserve"> </w:t>
      </w:r>
      <w:r w:rsidR="00145D98">
        <w:rPr>
          <w:noProof/>
        </w:rPr>
        <w:t>Connect, LogMeIn</w:t>
      </w:r>
      <w:r w:rsidR="00063B6F">
        <w:rPr>
          <w:noProof/>
        </w:rPr>
        <w:t xml:space="preserve"> </w:t>
      </w:r>
      <w:r w:rsidR="00145D98">
        <w:rPr>
          <w:noProof/>
        </w:rPr>
        <w:t>GoToTraining, and WebEx</w:t>
      </w:r>
      <w:r w:rsidR="00063B6F">
        <w:rPr>
          <w:noProof/>
        </w:rPr>
        <w:t xml:space="preserve"> Training Center as well as on-demand eLearning development tools including Articulate Storyline and Adobe Captivate.</w:t>
      </w:r>
    </w:p>
    <w:p w:rsidR="00DA064F" w:rsidRDefault="00063B6F" w:rsidP="00E6618F">
      <w:pPr>
        <w:spacing w:line="480" w:lineRule="auto"/>
        <w:ind w:firstLine="720"/>
        <w:rPr>
          <w:noProof/>
        </w:rPr>
      </w:pPr>
      <w:r>
        <w:rPr>
          <w:noProof/>
        </w:rPr>
        <mc:AlternateContent>
          <mc:Choice Requires="wps">
            <w:drawing>
              <wp:anchor distT="0" distB="0" distL="114300" distR="114300" simplePos="0" relativeHeight="251659264" behindDoc="0" locked="0" layoutInCell="1" allowOverlap="1" wp14:anchorId="3A13A189" wp14:editId="1E28CB6E">
                <wp:simplePos x="0" y="0"/>
                <wp:positionH relativeFrom="column">
                  <wp:posOffset>-175260</wp:posOffset>
                </wp:positionH>
                <wp:positionV relativeFrom="paragraph">
                  <wp:posOffset>2205990</wp:posOffset>
                </wp:positionV>
                <wp:extent cx="6713220" cy="3512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3512820"/>
                        </a:xfrm>
                        <a:prstGeom prst="rect">
                          <a:avLst/>
                        </a:prstGeom>
                        <a:solidFill>
                          <a:srgbClr val="FFFFFF"/>
                        </a:solidFill>
                        <a:ln w="9525">
                          <a:noFill/>
                          <a:miter lim="800000"/>
                          <a:headEnd/>
                          <a:tailEnd/>
                        </a:ln>
                      </wps:spPr>
                      <wps:txbx>
                        <w:txbxContent>
                          <w:p w:rsidR="00DA064F" w:rsidRDefault="00DA064F" w:rsidP="00DA064F">
                            <w:r>
                              <w:t>Table 1</w:t>
                            </w:r>
                          </w:p>
                          <w:p w:rsidR="00D67AEB" w:rsidRDefault="00DA064F" w:rsidP="00DA064F">
                            <w:r w:rsidRPr="00DA064F">
                              <w:rPr>
                                <w:i/>
                              </w:rPr>
                              <w:t>Foundational Assessment for Joanne Deitsch</w:t>
                            </w:r>
                            <w:r w:rsidR="00D67AEB">
                              <w:rPr>
                                <w:noProof/>
                              </w:rPr>
                              <w:drawing>
                                <wp:inline distT="0" distB="0" distL="0" distR="0" wp14:anchorId="01CF74C1" wp14:editId="0EBED0C8">
                                  <wp:extent cx="6522720" cy="2903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2720" cy="2903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173.7pt;width:528.6pt;height:2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XFIQIAAB4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" stroked="f">
                <v:textbox>
                  <w:txbxContent>
                    <w:p w:rsidR="00DA064F" w:rsidRDefault="00DA064F" w:rsidP="00DA064F">
                      <w:r>
                        <w:t>Table 1</w:t>
                      </w:r>
                    </w:p>
                    <w:p w:rsidR="00D67AEB" w:rsidRDefault="00DA064F" w:rsidP="00DA064F">
                      <w:r w:rsidRPr="00DA064F">
                        <w:rPr>
                          <w:i/>
                        </w:rPr>
                        <w:t>Foundational Assessment for Joanne Deitsch</w:t>
                      </w:r>
                      <w:r w:rsidR="00D67AEB">
                        <w:rPr>
                          <w:noProof/>
                        </w:rPr>
                        <w:drawing>
                          <wp:inline distT="0" distB="0" distL="0" distR="0" wp14:anchorId="01CF74C1" wp14:editId="0EBED0C8">
                            <wp:extent cx="6522720" cy="2903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2720" cy="2903220"/>
                                    </a:xfrm>
                                    <a:prstGeom prst="rect">
                                      <a:avLst/>
                                    </a:prstGeom>
                                    <a:noFill/>
                                    <a:ln>
                                      <a:noFill/>
                                    </a:ln>
                                  </pic:spPr>
                                </pic:pic>
                              </a:graphicData>
                            </a:graphic>
                          </wp:inline>
                        </w:drawing>
                      </w:r>
                    </w:p>
                  </w:txbxContent>
                </v:textbox>
              </v:shape>
            </w:pict>
          </mc:Fallback>
        </mc:AlternateContent>
      </w:r>
      <w:r w:rsidR="006568AC">
        <w:rPr>
          <w:noProof/>
        </w:rPr>
        <w:t>The remaining competenices are of lower importance</w:t>
      </w:r>
      <w:r w:rsidR="00891BBE">
        <w:rPr>
          <w:noProof/>
        </w:rPr>
        <w:t xml:space="preserve"> to the student author’s current job</w:t>
      </w:r>
      <w:r w:rsidR="00E6618F">
        <w:rPr>
          <w:noProof/>
        </w:rPr>
        <w:t xml:space="preserve">. </w:t>
      </w:r>
      <w:r w:rsidR="00847BC9">
        <w:rPr>
          <w:noProof/>
        </w:rPr>
        <w:t xml:space="preserve">The only learning audience in the student author’s current postion </w:t>
      </w:r>
      <w:r w:rsidR="00AB0CF0">
        <w:rPr>
          <w:noProof/>
        </w:rPr>
        <w:t>are North Americans. As a result, a global mindset does not apply</w:t>
      </w:r>
      <w:r w:rsidR="006568AC">
        <w:rPr>
          <w:noProof/>
        </w:rPr>
        <w:t xml:space="preserve"> for this assessment.</w:t>
      </w:r>
      <w:r w:rsidR="00E6618F">
        <w:rPr>
          <w:noProof/>
        </w:rPr>
        <w:t xml:space="preserve"> The student author’s current organization does not require up to date knowledge of the industry. As discussed earlier, the student author</w:t>
      </w:r>
      <w:r>
        <w:rPr>
          <w:noProof/>
        </w:rPr>
        <w:t xml:space="preserve"> does keep abreast of current industry trends through participation in learning industry associations.</w:t>
      </w:r>
    </w:p>
    <w:p w:rsidR="00D67AEB" w:rsidRDefault="00D67AEB" w:rsidP="00D67AEB">
      <w:pPr>
        <w:spacing w:line="480" w:lineRule="auto"/>
        <w:ind w:firstLine="720"/>
      </w:pPr>
    </w:p>
    <w:p w:rsidR="00C02663" w:rsidRPr="009563C1" w:rsidRDefault="00DF2DAD" w:rsidP="00D9285B">
      <w:pPr>
        <w:spacing w:line="480" w:lineRule="auto"/>
        <w:jc w:val="center"/>
        <w:rPr>
          <w:b/>
          <w:noProof/>
        </w:rPr>
      </w:pPr>
      <w:r>
        <w:rPr>
          <w:b/>
          <w:noProof/>
        </w:rPr>
        <w:t>Training and Development Areas of Expertise</w:t>
      </w:r>
    </w:p>
    <w:p w:rsidR="00FE1081" w:rsidRDefault="00146433" w:rsidP="006C395B">
      <w:pPr>
        <w:spacing w:line="480" w:lineRule="auto"/>
        <w:ind w:firstLine="720"/>
      </w:pPr>
      <w:r>
        <w:t xml:space="preserve">Virtual </w:t>
      </w:r>
      <w:r w:rsidR="00DD1DA9">
        <w:t>school classification</w:t>
      </w:r>
      <w:r w:rsidR="00141BAB">
        <w:t xml:space="preserve"> can</w:t>
      </w:r>
      <w:r>
        <w:t xml:space="preserve"> extend to student populations.</w:t>
      </w:r>
      <w:r w:rsidR="00DD1DA9">
        <w:t xml:space="preserve"> </w:t>
      </w:r>
      <w:r w:rsidR="006C349A">
        <w:t xml:space="preserve">Virtual schools provide an option for students wishing to accelerate academic progress </w:t>
      </w:r>
      <w:r w:rsidR="00C97234">
        <w:t>(</w:t>
      </w:r>
      <w:r w:rsidR="00C97234" w:rsidRPr="00C97234">
        <w:t>Watson</w:t>
      </w:r>
      <w:r w:rsidR="00C97234">
        <w:t xml:space="preserve">, </w:t>
      </w:r>
      <w:proofErr w:type="spellStart"/>
      <w:r w:rsidR="00C97234">
        <w:t>Gemin</w:t>
      </w:r>
      <w:proofErr w:type="spellEnd"/>
      <w:r w:rsidR="00C97234">
        <w:t xml:space="preserve">, </w:t>
      </w:r>
      <w:proofErr w:type="spellStart"/>
      <w:r w:rsidR="00C97234">
        <w:t>Vashaw</w:t>
      </w:r>
      <w:proofErr w:type="spellEnd"/>
      <w:r w:rsidR="00C97234">
        <w:t xml:space="preserve">, &amp; </w:t>
      </w:r>
      <w:proofErr w:type="spellStart"/>
      <w:r w:rsidR="00C97234">
        <w:t>Pape</w:t>
      </w:r>
      <w:proofErr w:type="spellEnd"/>
      <w:r w:rsidR="00C97234">
        <w:t xml:space="preserve">, </w:t>
      </w:r>
    </w:p>
    <w:p w:rsidR="009E1591" w:rsidRPr="009563C1" w:rsidRDefault="00DF2DAD" w:rsidP="009E1591">
      <w:pPr>
        <w:spacing w:line="480" w:lineRule="auto"/>
        <w:jc w:val="center"/>
        <w:rPr>
          <w:b/>
          <w:noProof/>
        </w:rPr>
      </w:pPr>
      <w:r>
        <w:rPr>
          <w:b/>
          <w:noProof/>
        </w:rPr>
        <w:t>Plan for Closing Skills Gap</w:t>
      </w:r>
    </w:p>
    <w:p w:rsidR="00E6618F" w:rsidRDefault="009E1591" w:rsidP="00D67AEB">
      <w:pPr>
        <w:spacing w:line="480" w:lineRule="auto"/>
        <w:jc w:val="center"/>
        <w:rPr>
          <w:noProof/>
        </w:rPr>
      </w:pPr>
      <w:r>
        <w:rPr>
          <w:noProof/>
        </w:rPr>
        <w:t>The student author favors</w:t>
      </w:r>
      <w:r w:rsidR="00DE1C63">
        <w:rPr>
          <w:noProof/>
        </w:rPr>
        <w:t xml:space="preserve"> the</w:t>
      </w:r>
      <w:r>
        <w:rPr>
          <w:noProof/>
        </w:rPr>
        <w:t xml:space="preserve"> cla</w:t>
      </w:r>
      <w:r w:rsidR="00141BAB">
        <w:rPr>
          <w:noProof/>
        </w:rPr>
        <w:t xml:space="preserve">ssification system that </w:t>
      </w:r>
      <w:r>
        <w:rPr>
          <w:noProof/>
        </w:rPr>
        <w:t>Matthew Wicks and Associates (2010</w:t>
      </w:r>
      <w:r w:rsidR="00324AF8">
        <w:rPr>
          <w:noProof/>
        </w:rPr>
        <w:t>)</w:t>
      </w:r>
      <w:r w:rsidR="00141BAB">
        <w:rPr>
          <w:noProof/>
        </w:rPr>
        <w:t xml:space="preserve"> described</w:t>
      </w:r>
      <w:r w:rsidR="00DC23A3">
        <w:rPr>
          <w:noProof/>
        </w:rPr>
        <w:t xml:space="preserve">.  </w:t>
      </w:r>
      <w:r w:rsidR="00324AF8">
        <w:rPr>
          <w:noProof/>
        </w:rPr>
        <w:t xml:space="preserve">The </w:t>
      </w:r>
      <w:r w:rsidR="00141BAB">
        <w:rPr>
          <w:noProof/>
        </w:rPr>
        <w:t xml:space="preserve">Clark and Watson </w:t>
      </w:r>
      <w:r w:rsidR="00324AF8">
        <w:rPr>
          <w:noProof/>
        </w:rPr>
        <w:t xml:space="preserve">classification systems </w:t>
      </w:r>
      <w:r w:rsidR="00EE3CA0">
        <w:rPr>
          <w:noProof/>
        </w:rPr>
        <w:t>require a prior</w:t>
      </w:r>
      <w:r w:rsidR="00DE1C63">
        <w:rPr>
          <w:noProof/>
        </w:rPr>
        <w:t xml:space="preserve"> </w:t>
      </w:r>
      <w:r w:rsidR="00324AF8">
        <w:rPr>
          <w:noProof/>
        </w:rPr>
        <w:t>understanding of the author’s definitions (</w:t>
      </w:r>
      <w:r w:rsidR="00324AF8">
        <w:t>Barbour, et al., 2009)</w:t>
      </w:r>
      <w:r w:rsidR="00DE1C63">
        <w:t xml:space="preserve">.  Both systems only provide a handful of terms to describe </w:t>
      </w:r>
      <w:r w:rsidR="00630D34">
        <w:t>virtual schools</w:t>
      </w:r>
      <w:r w:rsidR="00DE1C63">
        <w:t xml:space="preserve"> </w:t>
      </w:r>
      <w:r w:rsidR="00DE1C63">
        <w:rPr>
          <w:noProof/>
        </w:rPr>
        <w:t>(</w:t>
      </w:r>
      <w:r w:rsidR="00DE1C63">
        <w:t xml:space="preserve">Barbour, et al., 2009).  </w:t>
      </w:r>
      <w:r w:rsidR="00141BAB">
        <w:t>The categorization that</w:t>
      </w:r>
      <w:r w:rsidR="00630D34">
        <w:t xml:space="preserve"> </w:t>
      </w:r>
      <w:r w:rsidR="00DC23A3">
        <w:rPr>
          <w:noProof/>
        </w:rPr>
        <w:t xml:space="preserve">Matthew Wicks and </w:t>
      </w:r>
    </w:p>
    <w:p w:rsidR="0018317E" w:rsidRDefault="0018317E">
      <w:pPr>
        <w:rPr>
          <w:b/>
          <w:noProof/>
        </w:rPr>
      </w:pPr>
      <w:r>
        <w:rPr>
          <w:b/>
          <w:noProof/>
        </w:rPr>
        <w:br w:type="page"/>
      </w:r>
    </w:p>
    <w:p w:rsidR="00D67AEB" w:rsidRPr="009563C1" w:rsidRDefault="00D13C9D" w:rsidP="00D67AEB">
      <w:pPr>
        <w:spacing w:line="480" w:lineRule="auto"/>
        <w:jc w:val="center"/>
        <w:rPr>
          <w:b/>
          <w:noProof/>
        </w:rPr>
      </w:pPr>
      <w:r>
        <w:rPr>
          <w:b/>
          <w:noProof/>
        </w:rPr>
        <w:lastRenderedPageBreak/>
        <w:t>Areas of Training and Development Expertise</w:t>
      </w:r>
    </w:p>
    <w:p w:rsidR="00C850E3" w:rsidRDefault="00210360" w:rsidP="00210360">
      <w:pPr>
        <w:spacing w:line="480" w:lineRule="auto"/>
        <w:ind w:firstLine="720"/>
        <w:rPr>
          <w:noProof/>
        </w:rPr>
      </w:pPr>
      <w:r>
        <w:rPr>
          <w:noProof/>
        </w:rPr>
        <w:t>The student author holds instructional design</w:t>
      </w:r>
      <w:r>
        <w:rPr>
          <w:noProof/>
        </w:rPr>
        <w:t xml:space="preserve"> </w:t>
      </w:r>
      <w:r>
        <w:rPr>
          <w:noProof/>
        </w:rPr>
        <w:t xml:space="preserve">as the most important area of expertise for </w:t>
      </w:r>
      <w:r>
        <w:rPr>
          <w:noProof/>
        </w:rPr>
        <w:t>current and future positions</w:t>
      </w:r>
      <w:r>
        <w:rPr>
          <w:noProof/>
        </w:rPr>
        <w:t>.</w:t>
      </w:r>
      <w:r>
        <w:rPr>
          <w:noProof/>
        </w:rPr>
        <w:t xml:space="preserve"> As with most professional fields, the area of instructional design continually grows and changes requiring learning professionals to </w:t>
      </w:r>
      <w:r w:rsidR="00217C76">
        <w:rPr>
          <w:noProof/>
        </w:rPr>
        <w:t>adapt and incorporate new ideas into practice (Van Dam, 2012)</w:t>
      </w:r>
      <w:r>
        <w:rPr>
          <w:noProof/>
        </w:rPr>
        <w:t xml:space="preserve">. </w:t>
      </w:r>
      <w:r w:rsidR="000D1FF2">
        <w:rPr>
          <w:noProof/>
        </w:rPr>
        <w:t xml:space="preserve">Table 2 at the end of this section provides a completed Areas of Expertise </w:t>
      </w:r>
      <w:r w:rsidR="00C850E3">
        <w:rPr>
          <w:noProof/>
        </w:rPr>
        <w:t xml:space="preserve">Assessment </w:t>
      </w:r>
      <w:r w:rsidR="000D1FF2">
        <w:rPr>
          <w:noProof/>
        </w:rPr>
        <w:t>for the student author.</w:t>
      </w:r>
      <w:r w:rsidR="00D048BF">
        <w:rPr>
          <w:noProof/>
        </w:rPr>
        <w:t xml:space="preserve"> </w:t>
      </w:r>
    </w:p>
    <w:p w:rsidR="00217C76" w:rsidRDefault="00217C76" w:rsidP="0087120D">
      <w:pPr>
        <w:spacing w:line="480" w:lineRule="auto"/>
        <w:ind w:firstLine="720"/>
        <w:rPr>
          <w:noProof/>
        </w:rPr>
      </w:pPr>
      <w:r>
        <w:rPr>
          <w:noProof/>
        </w:rPr>
        <w:t xml:space="preserve">Learning technologies comprise the </w:t>
      </w:r>
      <w:r>
        <w:rPr>
          <w:noProof/>
        </w:rPr>
        <w:t xml:space="preserve">second </w:t>
      </w:r>
      <w:r>
        <w:rPr>
          <w:noProof/>
        </w:rPr>
        <w:t xml:space="preserve">area of expertise that requires improvement for the student author.  </w:t>
      </w:r>
      <w:r w:rsidR="0087120D">
        <w:rPr>
          <w:noProof/>
        </w:rPr>
        <w:t>“</w:t>
      </w:r>
      <w:r w:rsidR="0087120D">
        <w:rPr>
          <w:noProof/>
        </w:rPr>
        <w:t xml:space="preserve">L&amp;D </w:t>
      </w:r>
      <w:r w:rsidR="0087120D">
        <w:rPr>
          <w:noProof/>
        </w:rPr>
        <w:t xml:space="preserve">[Learning and Development] </w:t>
      </w:r>
      <w:r w:rsidR="0087120D">
        <w:rPr>
          <w:noProof/>
        </w:rPr>
        <w:t>functions</w:t>
      </w:r>
      <w:r w:rsidR="0087120D">
        <w:rPr>
          <w:noProof/>
        </w:rPr>
        <w:t xml:space="preserve"> </w:t>
      </w:r>
      <w:r w:rsidR="0087120D">
        <w:rPr>
          <w:noProof/>
        </w:rPr>
        <w:t>need to de</w:t>
      </w:r>
      <w:r w:rsidR="0087120D">
        <w:rPr>
          <w:noProof/>
        </w:rPr>
        <w:t>s</w:t>
      </w:r>
      <w:r w:rsidR="0087120D">
        <w:rPr>
          <w:noProof/>
        </w:rPr>
        <w:t>ign learning platforms that</w:t>
      </w:r>
      <w:r w:rsidR="0087120D">
        <w:rPr>
          <w:noProof/>
        </w:rPr>
        <w:t xml:space="preserve"> </w:t>
      </w:r>
      <w:r w:rsidR="0087120D">
        <w:rPr>
          <w:noProof/>
        </w:rPr>
        <w:t>provide a personalized view on learning</w:t>
      </w:r>
      <w:r w:rsidR="0087120D">
        <w:rPr>
          <w:noProof/>
        </w:rPr>
        <w:t xml:space="preserve"> </w:t>
      </w:r>
      <w:r w:rsidR="0087120D">
        <w:rPr>
          <w:noProof/>
        </w:rPr>
        <w:t>and are supported by social media</w:t>
      </w:r>
      <w:r w:rsidR="0087120D">
        <w:rPr>
          <w:noProof/>
        </w:rPr>
        <w:t xml:space="preserve"> </w:t>
      </w:r>
      <w:r w:rsidR="0087120D">
        <w:rPr>
          <w:noProof/>
        </w:rPr>
        <w:t>features (for example, rated, recommended</w:t>
      </w:r>
      <w:r w:rsidR="0087120D">
        <w:rPr>
          <w:noProof/>
        </w:rPr>
        <w:t xml:space="preserve"> </w:t>
      </w:r>
      <w:r w:rsidR="0087120D">
        <w:rPr>
          <w:noProof/>
        </w:rPr>
        <w:t>content) and up-to-date and</w:t>
      </w:r>
      <w:r w:rsidR="0087120D">
        <w:rPr>
          <w:noProof/>
        </w:rPr>
        <w:t xml:space="preserve"> relevant learning content” (</w:t>
      </w:r>
      <w:r>
        <w:t>Van Dam</w:t>
      </w:r>
      <w:r w:rsidR="0087120D">
        <w:t xml:space="preserve">, 2012, p. 51). </w:t>
      </w:r>
      <w:r w:rsidR="004B26D9">
        <w:t>The concept of learning professionals learning all they need for career success in school no longer applies.</w:t>
      </w:r>
    </w:p>
    <w:p w:rsidR="00210360" w:rsidRDefault="00210360" w:rsidP="00D048BF">
      <w:pPr>
        <w:spacing w:line="480" w:lineRule="auto"/>
        <w:ind w:firstLine="720"/>
        <w:rPr>
          <w:noProof/>
        </w:rPr>
      </w:pPr>
      <w:r>
        <w:rPr>
          <w:noProof/>
        </w:rPr>
        <w:t xml:space="preserve">The </w:t>
      </w:r>
      <w:r w:rsidR="00217C76">
        <w:rPr>
          <w:noProof/>
        </w:rPr>
        <w:t>third</w:t>
      </w:r>
      <w:r>
        <w:rPr>
          <w:noProof/>
        </w:rPr>
        <w:t xml:space="preserve"> area of expertise for the student author’s current and future positions are </w:t>
      </w:r>
      <w:r w:rsidR="00DC70AB">
        <w:rPr>
          <w:noProof/>
        </w:rPr>
        <w:t>training delivery</w:t>
      </w:r>
      <w:r>
        <w:rPr>
          <w:noProof/>
        </w:rPr>
        <w:t>.</w:t>
      </w:r>
      <w:r w:rsidR="00BE33EB">
        <w:rPr>
          <w:noProof/>
        </w:rPr>
        <w:t xml:space="preserve"> </w:t>
      </w:r>
      <w:r w:rsidR="00F54FF1">
        <w:rPr>
          <w:noProof/>
        </w:rPr>
        <w:t>The student author has delivered dozens of live and virtual sessions in a professional setting. However, this area of expertise requires practice to keep skills sharp.</w:t>
      </w:r>
      <w:r w:rsidR="00BE33EB">
        <w:rPr>
          <w:noProof/>
        </w:rPr>
        <w:t xml:space="preserve"> </w:t>
      </w:r>
    </w:p>
    <w:p w:rsidR="00217C76" w:rsidRDefault="00217C76" w:rsidP="00217C76">
      <w:pPr>
        <w:spacing w:line="480" w:lineRule="auto"/>
        <w:ind w:firstLine="720"/>
        <w:rPr>
          <w:noProof/>
        </w:rPr>
      </w:pPr>
      <w:r>
        <w:rPr>
          <w:noProof/>
        </w:rPr>
        <w:t>The last area of expertise for the student author’s current and future positions are evaluating learning impact. The student author has minimal experience with creating and analyzing metrics for the impact of learning solutions. Evaluations involving the use of net promoter scores (</w:t>
      </w:r>
      <w:r w:rsidRPr="005F61BD">
        <w:rPr>
          <w:noProof/>
        </w:rPr>
        <w:t>https://en.wikipedia.org/wiki/Net_Promoter</w:t>
      </w:r>
      <w:r>
        <w:rPr>
          <w:noProof/>
        </w:rPr>
        <w:t>) as well as with level 1 and 2 Kirkpatrick evaluations (</w:t>
      </w:r>
      <w:r w:rsidRPr="006D18C4">
        <w:rPr>
          <w:noProof/>
        </w:rPr>
        <w:t>https://www.kirkpatrickpartners.com/Our-Philosophy/The-Kirkpatrick-Model</w:t>
      </w:r>
      <w:r>
        <w:rPr>
          <w:noProof/>
        </w:rPr>
        <w:t>) are the limit of the student author’s expereince with evaluation methodologies.</w:t>
      </w:r>
    </w:p>
    <w:p w:rsidR="00C850E3" w:rsidRDefault="00210360" w:rsidP="00DC70AB">
      <w:pPr>
        <w:spacing w:line="480" w:lineRule="auto"/>
        <w:ind w:firstLine="720"/>
        <w:rPr>
          <w:noProof/>
        </w:rPr>
      </w:pPr>
      <w:r>
        <w:rPr>
          <w:noProof/>
        </w:rPr>
        <w:lastRenderedPageBreak/>
        <w:t>The areas of change management, coaching, integrated talent management, knowledge management, managing learning programs, and performance improvement do not apply for futher analysis. These area of expertise either do not apply or are more slated for manageral roles that the student author h</w:t>
      </w:r>
      <w:r w:rsidR="00217C76">
        <w:rPr>
          <w:noProof/>
        </w:rPr>
        <w:t>as no aspirations</w:t>
      </w:r>
      <w:r>
        <w:rPr>
          <w:noProof/>
        </w:rPr>
        <w:t xml:space="preserve"> to pursue.</w:t>
      </w:r>
    </w:p>
    <w:p w:rsidR="000D1FF2" w:rsidRDefault="000D1FF2" w:rsidP="00D67AEB">
      <w:pPr>
        <w:spacing w:line="480" w:lineRule="auto"/>
        <w:ind w:firstLine="720"/>
        <w:rPr>
          <w:noProof/>
        </w:rPr>
      </w:pPr>
      <w:r>
        <w:rPr>
          <w:noProof/>
        </w:rPr>
        <mc:AlternateContent>
          <mc:Choice Requires="wps">
            <w:drawing>
              <wp:anchor distT="0" distB="0" distL="114300" distR="114300" simplePos="0" relativeHeight="251661312" behindDoc="0" locked="0" layoutInCell="1" allowOverlap="1" wp14:anchorId="00A0A3FC" wp14:editId="2DBFAE2D">
                <wp:simplePos x="0" y="0"/>
                <wp:positionH relativeFrom="column">
                  <wp:posOffset>-270344</wp:posOffset>
                </wp:positionH>
                <wp:positionV relativeFrom="paragraph">
                  <wp:posOffset>0</wp:posOffset>
                </wp:positionV>
                <wp:extent cx="6713220" cy="7935402"/>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935402"/>
                        </a:xfrm>
                        <a:prstGeom prst="rect">
                          <a:avLst/>
                        </a:prstGeom>
                        <a:solidFill>
                          <a:srgbClr val="FFFFFF"/>
                        </a:solidFill>
                        <a:ln w="9525">
                          <a:noFill/>
                          <a:miter lim="800000"/>
                          <a:headEnd/>
                          <a:tailEnd/>
                        </a:ln>
                      </wps:spPr>
                      <wps:txbx>
                        <w:txbxContent>
                          <w:p w:rsidR="000D1FF2" w:rsidRDefault="000D1FF2" w:rsidP="000D1FF2">
                            <w:r>
                              <w:t>Table 2</w:t>
                            </w:r>
                          </w:p>
                          <w:p w:rsidR="000D1FF2" w:rsidRDefault="000D1FF2" w:rsidP="000D1FF2">
                            <w:pPr>
                              <w:rPr>
                                <w:noProof/>
                              </w:rPr>
                            </w:pPr>
                            <w:r>
                              <w:rPr>
                                <w:i/>
                              </w:rPr>
                              <w:t>Areas of Expertise</w:t>
                            </w:r>
                            <w:r w:rsidR="00C850E3">
                              <w:rPr>
                                <w:i/>
                              </w:rPr>
                              <w:t xml:space="preserve"> Assessment for </w:t>
                            </w:r>
                            <w:r w:rsidRPr="00DA064F">
                              <w:rPr>
                                <w:i/>
                              </w:rPr>
                              <w:t>Joanne Deitsch</w:t>
                            </w:r>
                          </w:p>
                          <w:p w:rsidR="00C850E3" w:rsidRDefault="003D42E0" w:rsidP="000D1FF2">
                            <w:r>
                              <w:rPr>
                                <w:noProof/>
                              </w:rPr>
                              <w:drawing>
                                <wp:inline distT="0" distB="0" distL="0" distR="0">
                                  <wp:extent cx="6369050" cy="5518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050" cy="551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3pt;margin-top:0;width:528.6pt;height:6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TRIQIAACM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" stroked="f">
                <v:textbox>
                  <w:txbxContent>
                    <w:p w:rsidR="000D1FF2" w:rsidRDefault="000D1FF2" w:rsidP="000D1FF2">
                      <w:r>
                        <w:t>Table 2</w:t>
                      </w:r>
                    </w:p>
                    <w:p w:rsidR="000D1FF2" w:rsidRDefault="000D1FF2" w:rsidP="000D1FF2">
                      <w:pPr>
                        <w:rPr>
                          <w:noProof/>
                        </w:rPr>
                      </w:pPr>
                      <w:r>
                        <w:rPr>
                          <w:i/>
                        </w:rPr>
                        <w:t>Areas of Expertise</w:t>
                      </w:r>
                      <w:r w:rsidR="00C850E3">
                        <w:rPr>
                          <w:i/>
                        </w:rPr>
                        <w:t xml:space="preserve"> Assessment for </w:t>
                      </w:r>
                      <w:r w:rsidRPr="00DA064F">
                        <w:rPr>
                          <w:i/>
                        </w:rPr>
                        <w:t>Joanne Deitsch</w:t>
                      </w:r>
                    </w:p>
                    <w:p w:rsidR="00C850E3" w:rsidRDefault="003D42E0" w:rsidP="000D1FF2">
                      <w:r>
                        <w:rPr>
                          <w:noProof/>
                        </w:rPr>
                        <w:drawing>
                          <wp:inline distT="0" distB="0" distL="0" distR="0">
                            <wp:extent cx="6369050" cy="5518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050" cy="5518150"/>
                                    </a:xfrm>
                                    <a:prstGeom prst="rect">
                                      <a:avLst/>
                                    </a:prstGeom>
                                    <a:noFill/>
                                    <a:ln>
                                      <a:noFill/>
                                    </a:ln>
                                  </pic:spPr>
                                </pic:pic>
                              </a:graphicData>
                            </a:graphic>
                          </wp:inline>
                        </w:drawing>
                      </w:r>
                    </w:p>
                  </w:txbxContent>
                </v:textbox>
              </v:shape>
            </w:pict>
          </mc:Fallback>
        </mc:AlternateContent>
      </w:r>
    </w:p>
    <w:p w:rsidR="000D1FF2" w:rsidRDefault="000D1FF2" w:rsidP="00D67AEB">
      <w:pPr>
        <w:spacing w:line="480" w:lineRule="auto"/>
        <w:ind w:firstLine="720"/>
        <w:rPr>
          <w:noProof/>
        </w:rPr>
      </w:pPr>
    </w:p>
    <w:p w:rsidR="000D1FF2" w:rsidRDefault="000D1FF2" w:rsidP="00D67AEB">
      <w:pPr>
        <w:spacing w:line="480" w:lineRule="auto"/>
        <w:ind w:firstLine="720"/>
        <w:rPr>
          <w:noProof/>
        </w:rPr>
      </w:pPr>
    </w:p>
    <w:p w:rsidR="000D1FF2" w:rsidRDefault="000D1FF2" w:rsidP="00D67AEB">
      <w:pPr>
        <w:spacing w:line="480" w:lineRule="auto"/>
        <w:ind w:firstLine="720"/>
        <w:rPr>
          <w:noProof/>
        </w:rPr>
      </w:pPr>
    </w:p>
    <w:p w:rsidR="000D1FF2" w:rsidRDefault="000D1FF2" w:rsidP="000D1FF2">
      <w:pPr>
        <w:spacing w:line="480" w:lineRule="auto"/>
      </w:pPr>
    </w:p>
    <w:p w:rsidR="000D1FF2" w:rsidRDefault="000D1FF2" w:rsidP="00D67AEB">
      <w:pPr>
        <w:spacing w:line="480" w:lineRule="auto"/>
        <w:ind w:firstLine="720"/>
      </w:pPr>
    </w:p>
    <w:p w:rsidR="000D1FF2" w:rsidRDefault="000D1FF2" w:rsidP="00D67AEB">
      <w:pPr>
        <w:spacing w:line="480" w:lineRule="auto"/>
        <w:ind w:firstLine="720"/>
      </w:pPr>
    </w:p>
    <w:p w:rsidR="000D1FF2" w:rsidRDefault="000D1FF2" w:rsidP="00D67AEB">
      <w:pPr>
        <w:spacing w:line="480" w:lineRule="auto"/>
        <w:ind w:firstLine="720"/>
      </w:pPr>
    </w:p>
    <w:p w:rsidR="000D1FF2" w:rsidRDefault="000D1FF2" w:rsidP="00D67AEB">
      <w:pPr>
        <w:spacing w:line="480" w:lineRule="auto"/>
        <w:ind w:firstLine="720"/>
      </w:pPr>
    </w:p>
    <w:p w:rsidR="000D1FF2" w:rsidRDefault="000D1FF2" w:rsidP="00D67AEB">
      <w:pPr>
        <w:spacing w:line="480" w:lineRule="auto"/>
        <w:ind w:firstLine="720"/>
      </w:pPr>
    </w:p>
    <w:p w:rsidR="000D1FF2" w:rsidRDefault="000D1FF2" w:rsidP="00D67AEB">
      <w:pPr>
        <w:spacing w:line="480" w:lineRule="auto"/>
        <w:ind w:firstLine="720"/>
      </w:pPr>
    </w:p>
    <w:p w:rsidR="000D1FF2" w:rsidRDefault="000D1FF2" w:rsidP="00D67AEB">
      <w:pPr>
        <w:spacing w:line="480" w:lineRule="auto"/>
        <w:ind w:firstLine="720"/>
      </w:pPr>
    </w:p>
    <w:p w:rsidR="000D1FF2" w:rsidRDefault="000D1FF2" w:rsidP="00D67AEB">
      <w:pPr>
        <w:spacing w:line="480" w:lineRule="auto"/>
        <w:ind w:firstLine="720"/>
      </w:pPr>
    </w:p>
    <w:p w:rsidR="00F661CD" w:rsidRDefault="00F661CD" w:rsidP="00D67AEB">
      <w:pPr>
        <w:spacing w:line="480" w:lineRule="auto"/>
        <w:jc w:val="center"/>
        <w:rPr>
          <w:b/>
          <w:noProof/>
        </w:rPr>
      </w:pPr>
    </w:p>
    <w:p w:rsidR="00D67AEB" w:rsidRPr="009563C1" w:rsidRDefault="003D42E0" w:rsidP="00885497">
      <w:pPr>
        <w:jc w:val="center"/>
        <w:rPr>
          <w:b/>
          <w:noProof/>
        </w:rPr>
      </w:pPr>
      <w:r>
        <w:rPr>
          <w:b/>
          <w:noProof/>
        </w:rPr>
        <w:br w:type="page"/>
      </w:r>
      <w:r w:rsidR="00D13C9D">
        <w:rPr>
          <w:b/>
          <w:noProof/>
        </w:rPr>
        <w:lastRenderedPageBreak/>
        <w:t>Plan for Closing Skill Gaps</w:t>
      </w:r>
    </w:p>
    <w:p w:rsidR="00DC70AB" w:rsidRDefault="00DC70AB" w:rsidP="00DC70AB">
      <w:pPr>
        <w:spacing w:line="480" w:lineRule="auto"/>
        <w:ind w:firstLine="720"/>
        <w:rPr>
          <w:noProof/>
        </w:rPr>
      </w:pPr>
      <w:r>
        <w:rPr>
          <w:noProof/>
        </w:rPr>
        <w:t xml:space="preserve">Table 3 </w:t>
      </w:r>
      <w:r w:rsidR="00F54FF1">
        <w:rPr>
          <w:noProof/>
        </w:rPr>
        <w:t>belo</w:t>
      </w:r>
      <w:r>
        <w:rPr>
          <w:noProof/>
        </w:rPr>
        <w:t xml:space="preserve">w </w:t>
      </w:r>
      <w:r>
        <w:rPr>
          <w:noProof/>
        </w:rPr>
        <w:t xml:space="preserve">provides a completed </w:t>
      </w:r>
      <w:r w:rsidR="00D52EFD">
        <w:rPr>
          <w:noProof/>
        </w:rPr>
        <w:t>Action Plan</w:t>
      </w:r>
      <w:r>
        <w:rPr>
          <w:noProof/>
        </w:rPr>
        <w:t xml:space="preserve"> </w:t>
      </w:r>
      <w:r w:rsidR="00D52EFD">
        <w:rPr>
          <w:noProof/>
        </w:rPr>
        <w:t>for the student author’s skill gaps</w:t>
      </w:r>
      <w:r w:rsidR="0029580C">
        <w:rPr>
          <w:noProof/>
        </w:rPr>
        <w:t>. The timeframe to complete all ac</w:t>
      </w:r>
      <w:r w:rsidR="00256D91">
        <w:rPr>
          <w:noProof/>
        </w:rPr>
        <w:t>tivities are March, 2019.</w:t>
      </w:r>
    </w:p>
    <w:p w:rsidR="00D52EFD" w:rsidRDefault="00D52EFD" w:rsidP="00D52EFD">
      <w:r>
        <w:t>Table 3</w:t>
      </w:r>
    </w:p>
    <w:p w:rsidR="00D52EFD" w:rsidRDefault="00D52EFD" w:rsidP="00D52EFD">
      <w:pPr>
        <w:rPr>
          <w:i/>
        </w:rPr>
      </w:pPr>
      <w:r>
        <w:rPr>
          <w:i/>
        </w:rPr>
        <w:t>Action Planning</w:t>
      </w:r>
      <w:r>
        <w:rPr>
          <w:i/>
        </w:rPr>
        <w:t xml:space="preserve"> for </w:t>
      </w:r>
      <w:r w:rsidRPr="00DA064F">
        <w:rPr>
          <w:i/>
        </w:rPr>
        <w:t>Joanne Deitsch</w:t>
      </w:r>
    </w:p>
    <w:tbl>
      <w:tblPr>
        <w:tblStyle w:val="LightShading"/>
        <w:tblW w:w="0" w:type="auto"/>
        <w:tblLook w:val="04A0" w:firstRow="1" w:lastRow="0" w:firstColumn="1" w:lastColumn="0" w:noHBand="0" w:noVBand="1"/>
      </w:tblPr>
      <w:tblGrid>
        <w:gridCol w:w="3192"/>
        <w:gridCol w:w="3192"/>
        <w:gridCol w:w="3192"/>
      </w:tblGrid>
      <w:tr w:rsidR="0029580C" w:rsidTr="00295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9580C" w:rsidRDefault="0029580C" w:rsidP="0029580C">
            <w:pPr>
              <w:jc w:val="center"/>
              <w:rPr>
                <w:noProof/>
              </w:rPr>
            </w:pPr>
            <w:r>
              <w:rPr>
                <w:noProof/>
              </w:rPr>
              <w:t>Area of Expertise</w:t>
            </w:r>
          </w:p>
        </w:tc>
        <w:tc>
          <w:tcPr>
            <w:tcW w:w="3192" w:type="dxa"/>
          </w:tcPr>
          <w:p w:rsidR="0029580C" w:rsidRDefault="0029580C" w:rsidP="0029580C">
            <w:pPr>
              <w:jc w:val="center"/>
              <w:cnfStyle w:val="100000000000" w:firstRow="1" w:lastRow="0" w:firstColumn="0" w:lastColumn="0" w:oddVBand="0" w:evenVBand="0" w:oddHBand="0" w:evenHBand="0" w:firstRowFirstColumn="0" w:firstRowLastColumn="0" w:lastRowFirstColumn="0" w:lastRowLastColumn="0"/>
              <w:rPr>
                <w:noProof/>
              </w:rPr>
            </w:pPr>
            <w:r>
              <w:rPr>
                <w:noProof/>
              </w:rPr>
              <w:t>Actions Steps</w:t>
            </w:r>
          </w:p>
        </w:tc>
        <w:tc>
          <w:tcPr>
            <w:tcW w:w="3192" w:type="dxa"/>
          </w:tcPr>
          <w:p w:rsidR="0029580C" w:rsidRDefault="0029580C" w:rsidP="0029580C">
            <w:pPr>
              <w:jc w:val="center"/>
              <w:cnfStyle w:val="100000000000" w:firstRow="1" w:lastRow="0" w:firstColumn="0" w:lastColumn="0" w:oddVBand="0" w:evenVBand="0" w:oddHBand="0" w:evenHBand="0" w:firstRowFirstColumn="0" w:firstRowLastColumn="0" w:lastRowFirstColumn="0" w:lastRowLastColumn="0"/>
              <w:rPr>
                <w:noProof/>
              </w:rPr>
            </w:pPr>
            <w:r>
              <w:rPr>
                <w:noProof/>
              </w:rPr>
              <w:t>Resources</w:t>
            </w:r>
          </w:p>
        </w:tc>
      </w:tr>
      <w:tr w:rsidR="0029580C" w:rsidTr="00295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9580C" w:rsidRDefault="0029580C" w:rsidP="00D52EFD">
            <w:pPr>
              <w:rPr>
                <w:noProof/>
              </w:rPr>
            </w:pPr>
            <w:r w:rsidRPr="000C3D4E">
              <w:rPr>
                <w:b w:val="0"/>
                <w:noProof/>
              </w:rPr>
              <w:t>Instructional Design</w:t>
            </w:r>
          </w:p>
        </w:tc>
        <w:tc>
          <w:tcPr>
            <w:tcW w:w="3192" w:type="dxa"/>
          </w:tcPr>
          <w:p w:rsidR="0029580C" w:rsidRDefault="0088280D" w:rsidP="00D52EFD">
            <w:pPr>
              <w:cnfStyle w:val="000000100000" w:firstRow="0" w:lastRow="0" w:firstColumn="0" w:lastColumn="0" w:oddVBand="0" w:evenVBand="0" w:oddHBand="1" w:evenHBand="0" w:firstRowFirstColumn="0" w:firstRowLastColumn="0" w:lastRowFirstColumn="0" w:lastRowLastColumn="0"/>
              <w:rPr>
                <w:noProof/>
              </w:rPr>
            </w:pPr>
            <w:r>
              <w:rPr>
                <w:noProof/>
              </w:rPr>
              <w:t>Continue to design learning solutions</w:t>
            </w:r>
          </w:p>
        </w:tc>
        <w:tc>
          <w:tcPr>
            <w:tcW w:w="3192" w:type="dxa"/>
          </w:tcPr>
          <w:p w:rsidR="0029580C" w:rsidRDefault="0088280D" w:rsidP="00D52EFD">
            <w:pPr>
              <w:cnfStyle w:val="000000100000" w:firstRow="0" w:lastRow="0" w:firstColumn="0" w:lastColumn="0" w:oddVBand="0" w:evenVBand="0" w:oddHBand="1" w:evenHBand="0" w:firstRowFirstColumn="0" w:firstRowLastColumn="0" w:lastRowFirstColumn="0" w:lastRowLastColumn="0"/>
              <w:rPr>
                <w:noProof/>
              </w:rPr>
            </w:pPr>
            <w:r>
              <w:rPr>
                <w:noProof/>
              </w:rPr>
              <w:t xml:space="preserve">1) </w:t>
            </w:r>
            <w:r>
              <w:rPr>
                <w:noProof/>
              </w:rPr>
              <w:t>On-the-job activities</w:t>
            </w:r>
          </w:p>
          <w:p w:rsidR="0088280D" w:rsidRDefault="0088280D" w:rsidP="00D52EFD">
            <w:pPr>
              <w:cnfStyle w:val="000000100000" w:firstRow="0" w:lastRow="0" w:firstColumn="0" w:lastColumn="0" w:oddVBand="0" w:evenVBand="0" w:oddHBand="1" w:evenHBand="0" w:firstRowFirstColumn="0" w:firstRowLastColumn="0" w:lastRowFirstColumn="0" w:lastRowLastColumn="0"/>
              <w:rPr>
                <w:noProof/>
              </w:rPr>
            </w:pPr>
            <w:r>
              <w:rPr>
                <w:noProof/>
              </w:rPr>
              <w:t>2) Industry association involvement</w:t>
            </w:r>
          </w:p>
        </w:tc>
      </w:tr>
      <w:tr w:rsidR="0029580C" w:rsidTr="0029580C">
        <w:tc>
          <w:tcPr>
            <w:cnfStyle w:val="001000000000" w:firstRow="0" w:lastRow="0" w:firstColumn="1" w:lastColumn="0" w:oddVBand="0" w:evenVBand="0" w:oddHBand="0" w:evenHBand="0" w:firstRowFirstColumn="0" w:firstRowLastColumn="0" w:lastRowFirstColumn="0" w:lastRowLastColumn="0"/>
            <w:tcW w:w="3192" w:type="dxa"/>
          </w:tcPr>
          <w:p w:rsidR="0029580C" w:rsidRDefault="0029580C" w:rsidP="00D52EFD">
            <w:pPr>
              <w:rPr>
                <w:noProof/>
              </w:rPr>
            </w:pPr>
            <w:r>
              <w:rPr>
                <w:b w:val="0"/>
                <w:noProof/>
              </w:rPr>
              <w:t>Learning Technologies</w:t>
            </w:r>
          </w:p>
        </w:tc>
        <w:tc>
          <w:tcPr>
            <w:tcW w:w="3192" w:type="dxa"/>
          </w:tcPr>
          <w:p w:rsidR="0029580C" w:rsidRDefault="0029580C" w:rsidP="00D52EFD">
            <w:pPr>
              <w:cnfStyle w:val="000000000000" w:firstRow="0" w:lastRow="0" w:firstColumn="0" w:lastColumn="0" w:oddVBand="0" w:evenVBand="0" w:oddHBand="0" w:evenHBand="0" w:firstRowFirstColumn="0" w:firstRowLastColumn="0" w:lastRowFirstColumn="0" w:lastRowLastColumn="0"/>
              <w:rPr>
                <w:noProof/>
              </w:rPr>
            </w:pPr>
            <w:r>
              <w:rPr>
                <w:noProof/>
              </w:rPr>
              <w:t>Improve skills with Articulate Storyline</w:t>
            </w:r>
          </w:p>
        </w:tc>
        <w:tc>
          <w:tcPr>
            <w:tcW w:w="3192" w:type="dxa"/>
          </w:tcPr>
          <w:p w:rsidR="0029580C" w:rsidRDefault="0029580C" w:rsidP="00D52EFD">
            <w:pPr>
              <w:cnfStyle w:val="000000000000" w:firstRow="0" w:lastRow="0" w:firstColumn="0" w:lastColumn="0" w:oddVBand="0" w:evenVBand="0" w:oddHBand="0" w:evenHBand="0" w:firstRowFirstColumn="0" w:firstRowLastColumn="0" w:lastRowFirstColumn="0" w:lastRowLastColumn="0"/>
              <w:rPr>
                <w:noProof/>
              </w:rPr>
            </w:pPr>
            <w:r>
              <w:rPr>
                <w:noProof/>
              </w:rPr>
              <w:t>1) Articulate Storyline Community of Practice</w:t>
            </w:r>
          </w:p>
          <w:p w:rsidR="0029580C" w:rsidRDefault="0029580C" w:rsidP="00D52EFD">
            <w:pPr>
              <w:cnfStyle w:val="000000000000" w:firstRow="0" w:lastRow="0" w:firstColumn="0" w:lastColumn="0" w:oddVBand="0" w:evenVBand="0" w:oddHBand="0" w:evenHBand="0" w:firstRowFirstColumn="0" w:firstRowLastColumn="0" w:lastRowFirstColumn="0" w:lastRowLastColumn="0"/>
              <w:rPr>
                <w:noProof/>
              </w:rPr>
            </w:pPr>
            <w:r>
              <w:rPr>
                <w:noProof/>
              </w:rPr>
              <w:t>2) Training courses</w:t>
            </w:r>
          </w:p>
        </w:tc>
      </w:tr>
      <w:tr w:rsidR="0029580C" w:rsidTr="00295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9580C" w:rsidRDefault="0029580C" w:rsidP="00D52EFD">
            <w:pPr>
              <w:rPr>
                <w:b w:val="0"/>
                <w:noProof/>
              </w:rPr>
            </w:pPr>
            <w:r>
              <w:rPr>
                <w:b w:val="0"/>
                <w:noProof/>
              </w:rPr>
              <w:t>Training Delivery</w:t>
            </w:r>
          </w:p>
        </w:tc>
        <w:tc>
          <w:tcPr>
            <w:tcW w:w="3192" w:type="dxa"/>
          </w:tcPr>
          <w:p w:rsidR="0029580C" w:rsidRDefault="0029580C" w:rsidP="00D52EFD">
            <w:pPr>
              <w:cnfStyle w:val="000000100000" w:firstRow="0" w:lastRow="0" w:firstColumn="0" w:lastColumn="0" w:oddVBand="0" w:evenVBand="0" w:oddHBand="1" w:evenHBand="0" w:firstRowFirstColumn="0" w:firstRowLastColumn="0" w:lastRowFirstColumn="0" w:lastRowLastColumn="0"/>
              <w:rPr>
                <w:noProof/>
              </w:rPr>
            </w:pPr>
            <w:r>
              <w:rPr>
                <w:noProof/>
              </w:rPr>
              <w:t>Continue to deliver training</w:t>
            </w:r>
          </w:p>
        </w:tc>
        <w:tc>
          <w:tcPr>
            <w:tcW w:w="3192" w:type="dxa"/>
          </w:tcPr>
          <w:p w:rsidR="0029580C" w:rsidRDefault="0029580C" w:rsidP="00D52EFD">
            <w:pPr>
              <w:cnfStyle w:val="000000100000" w:firstRow="0" w:lastRow="0" w:firstColumn="0" w:lastColumn="0" w:oddVBand="0" w:evenVBand="0" w:oddHBand="1" w:evenHBand="0" w:firstRowFirstColumn="0" w:firstRowLastColumn="0" w:lastRowFirstColumn="0" w:lastRowLastColumn="0"/>
              <w:rPr>
                <w:noProof/>
              </w:rPr>
            </w:pPr>
            <w:r>
              <w:rPr>
                <w:noProof/>
              </w:rPr>
              <w:t>On-the-job activities</w:t>
            </w:r>
          </w:p>
        </w:tc>
      </w:tr>
      <w:tr w:rsidR="0029580C" w:rsidTr="0029580C">
        <w:tc>
          <w:tcPr>
            <w:cnfStyle w:val="001000000000" w:firstRow="0" w:lastRow="0" w:firstColumn="1" w:lastColumn="0" w:oddVBand="0" w:evenVBand="0" w:oddHBand="0" w:evenHBand="0" w:firstRowFirstColumn="0" w:firstRowLastColumn="0" w:lastRowFirstColumn="0" w:lastRowLastColumn="0"/>
            <w:tcW w:w="3192" w:type="dxa"/>
          </w:tcPr>
          <w:p w:rsidR="0029580C" w:rsidRDefault="0029580C" w:rsidP="00D52EFD">
            <w:pPr>
              <w:rPr>
                <w:b w:val="0"/>
                <w:noProof/>
              </w:rPr>
            </w:pPr>
            <w:r>
              <w:rPr>
                <w:b w:val="0"/>
                <w:noProof/>
              </w:rPr>
              <w:t>Evaluating Learning Impact</w:t>
            </w:r>
          </w:p>
        </w:tc>
        <w:tc>
          <w:tcPr>
            <w:tcW w:w="3192" w:type="dxa"/>
          </w:tcPr>
          <w:p w:rsidR="0029580C" w:rsidRDefault="0088280D" w:rsidP="00D52EFD">
            <w:pPr>
              <w:cnfStyle w:val="000000000000" w:firstRow="0" w:lastRow="0" w:firstColumn="0" w:lastColumn="0" w:oddVBand="0" w:evenVBand="0" w:oddHBand="0" w:evenHBand="0" w:firstRowFirstColumn="0" w:firstRowLastColumn="0" w:lastRowFirstColumn="0" w:lastRowLastColumn="0"/>
              <w:rPr>
                <w:noProof/>
              </w:rPr>
            </w:pPr>
            <w:r>
              <w:rPr>
                <w:noProof/>
              </w:rPr>
              <w:t>Improve skills with evaluation methodologies</w:t>
            </w:r>
          </w:p>
        </w:tc>
        <w:tc>
          <w:tcPr>
            <w:tcW w:w="3192" w:type="dxa"/>
          </w:tcPr>
          <w:p w:rsidR="0029580C" w:rsidRDefault="0029580C" w:rsidP="00D52EFD">
            <w:pPr>
              <w:cnfStyle w:val="000000000000" w:firstRow="0" w:lastRow="0" w:firstColumn="0" w:lastColumn="0" w:oddVBand="0" w:evenVBand="0" w:oddHBand="0" w:evenHBand="0" w:firstRowFirstColumn="0" w:firstRowLastColumn="0" w:lastRowFirstColumn="0" w:lastRowLastColumn="0"/>
              <w:rPr>
                <w:noProof/>
              </w:rPr>
            </w:pPr>
            <w:r>
              <w:rPr>
                <w:noProof/>
              </w:rPr>
              <w:t>1) Online research on Kirkpatrick Levels 3-4</w:t>
            </w:r>
          </w:p>
          <w:p w:rsidR="0029580C" w:rsidRDefault="0029580C" w:rsidP="00D52EFD">
            <w:pPr>
              <w:cnfStyle w:val="000000000000" w:firstRow="0" w:lastRow="0" w:firstColumn="0" w:lastColumn="0" w:oddVBand="0" w:evenVBand="0" w:oddHBand="0" w:evenHBand="0" w:firstRowFirstColumn="0" w:firstRowLastColumn="0" w:lastRowFirstColumn="0" w:lastRowLastColumn="0"/>
              <w:rPr>
                <w:noProof/>
              </w:rPr>
            </w:pPr>
            <w:r>
              <w:rPr>
                <w:noProof/>
              </w:rPr>
              <w:t xml:space="preserve">2) </w:t>
            </w:r>
            <w:r w:rsidR="0088280D">
              <w:rPr>
                <w:noProof/>
              </w:rPr>
              <w:t xml:space="preserve">Online research on </w:t>
            </w:r>
            <w:r w:rsidR="0088280D">
              <w:rPr>
                <w:noProof/>
              </w:rPr>
              <w:t>other evaluation methodologies</w:t>
            </w:r>
          </w:p>
          <w:p w:rsidR="0029580C" w:rsidRDefault="0029580C" w:rsidP="00D52EFD">
            <w:pPr>
              <w:cnfStyle w:val="000000000000" w:firstRow="0" w:lastRow="0" w:firstColumn="0" w:lastColumn="0" w:oddVBand="0" w:evenVBand="0" w:oddHBand="0" w:evenHBand="0" w:firstRowFirstColumn="0" w:firstRowLastColumn="0" w:lastRowFirstColumn="0" w:lastRowLastColumn="0"/>
              <w:rPr>
                <w:noProof/>
              </w:rPr>
            </w:pPr>
          </w:p>
        </w:tc>
      </w:tr>
    </w:tbl>
    <w:p w:rsidR="0029580C" w:rsidRPr="0029580C" w:rsidRDefault="0029580C" w:rsidP="00D52EFD">
      <w:pPr>
        <w:rPr>
          <w:noProof/>
        </w:rPr>
      </w:pPr>
    </w:p>
    <w:p w:rsidR="00C02663" w:rsidRPr="009563C1" w:rsidRDefault="00C02663" w:rsidP="00DC70AB">
      <w:pPr>
        <w:spacing w:line="480" w:lineRule="auto"/>
        <w:jc w:val="center"/>
        <w:rPr>
          <w:b/>
          <w:noProof/>
        </w:rPr>
      </w:pPr>
      <w:r w:rsidRPr="009563C1">
        <w:rPr>
          <w:b/>
          <w:noProof/>
        </w:rPr>
        <w:t>Conclusion</w:t>
      </w:r>
    </w:p>
    <w:p w:rsidR="009159D3" w:rsidRDefault="00617549" w:rsidP="009159D3">
      <w:pPr>
        <w:spacing w:line="480" w:lineRule="auto"/>
        <w:ind w:firstLine="720"/>
        <w:rPr>
          <w:noProof/>
        </w:rPr>
      </w:pPr>
      <w:r>
        <w:rPr>
          <w:noProof/>
        </w:rPr>
        <w:t>While the student author has solid foundational skills as a learnin</w:t>
      </w:r>
      <w:r w:rsidR="00256D91">
        <w:rPr>
          <w:noProof/>
        </w:rPr>
        <w:t>g professional, there are still are areas of expertise that require</w:t>
      </w:r>
      <w:r w:rsidR="00FE3FBE">
        <w:rPr>
          <w:noProof/>
        </w:rPr>
        <w:t xml:space="preserve"> further development</w:t>
      </w:r>
      <w:r w:rsidR="00256D91">
        <w:rPr>
          <w:noProof/>
        </w:rPr>
        <w:t xml:space="preserve">. In the </w:t>
      </w:r>
      <w:r w:rsidR="00480F01">
        <w:rPr>
          <w:noProof/>
        </w:rPr>
        <w:t>comin</w:t>
      </w:r>
      <w:r w:rsidR="00FE3FBE">
        <w:rPr>
          <w:noProof/>
        </w:rPr>
        <w:t>g year, the student author will continue to develop skills in the areas of instructional design, learning technologies, training delivery, and evaluating learning impact. This development will involve a mixture of on-the-job activities, industry association involvement, research, and course completion.</w:t>
      </w:r>
    </w:p>
    <w:p w:rsidR="00C25016" w:rsidRDefault="00C25016">
      <w:pPr>
        <w:rPr>
          <w:noProof/>
        </w:rPr>
      </w:pPr>
      <w:r>
        <w:rPr>
          <w:noProof/>
        </w:rPr>
        <w:br w:type="page"/>
      </w:r>
    </w:p>
    <w:p w:rsidR="006A3BA9" w:rsidRDefault="00711379" w:rsidP="00711379">
      <w:pPr>
        <w:spacing w:line="480" w:lineRule="auto"/>
        <w:jc w:val="center"/>
      </w:pPr>
      <w:r>
        <w:lastRenderedPageBreak/>
        <w:t>References</w:t>
      </w:r>
    </w:p>
    <w:p w:rsidR="00DF2DAD" w:rsidRDefault="00EA7F4E" w:rsidP="000110BA">
      <w:pPr>
        <w:spacing w:line="480" w:lineRule="auto"/>
        <w:ind w:left="720" w:hanging="720"/>
      </w:pPr>
      <w:proofErr w:type="gramStart"/>
      <w:r>
        <w:t xml:space="preserve">Association for </w:t>
      </w:r>
      <w:r w:rsidR="001F4AA8">
        <w:t>Talent D</w:t>
      </w:r>
      <w:r>
        <w:t>evelopment</w:t>
      </w:r>
      <w:r w:rsidR="00F54BDB">
        <w:t xml:space="preserve"> (ATD)</w:t>
      </w:r>
      <w:r>
        <w:t>.</w:t>
      </w:r>
      <w:proofErr w:type="gramEnd"/>
      <w:r>
        <w:t xml:space="preserve"> (2018). ATD c</w:t>
      </w:r>
      <w:r w:rsidRPr="00EA7F4E">
        <w:t xml:space="preserve">ompetency </w:t>
      </w:r>
      <w:r>
        <w:t>m</w:t>
      </w:r>
      <w:r w:rsidRPr="00EA7F4E">
        <w:t>odel</w:t>
      </w:r>
      <w:r w:rsidR="00F54BDB">
        <w:t xml:space="preserve"> [Web Page]</w:t>
      </w:r>
      <w:r>
        <w:t xml:space="preserve">. </w:t>
      </w:r>
      <w:r w:rsidR="00DF2DAD" w:rsidRPr="00DF2DAD">
        <w:t xml:space="preserve">Retrieved from </w:t>
      </w:r>
      <w:r w:rsidRPr="00EA7F4E">
        <w:t>https://www.td.org/Certification/Competency-Model</w:t>
      </w:r>
    </w:p>
    <w:p w:rsidR="00EA7F4E" w:rsidRDefault="00F54BDB" w:rsidP="000110BA">
      <w:pPr>
        <w:spacing w:line="480" w:lineRule="auto"/>
        <w:ind w:left="720" w:hanging="720"/>
      </w:pPr>
      <w:proofErr w:type="gramStart"/>
      <w:r>
        <w:t>A</w:t>
      </w:r>
      <w:r w:rsidR="001F4AA8">
        <w:t>ssociation for Talent D</w:t>
      </w:r>
      <w:r>
        <w:t>evelopment (ATD).</w:t>
      </w:r>
      <w:proofErr w:type="gramEnd"/>
      <w:r>
        <w:t xml:space="preserve"> </w:t>
      </w:r>
      <w:r w:rsidR="00EA7F4E">
        <w:t>(2014). Using the ATD competency model action planning for individuals</w:t>
      </w:r>
      <w:r>
        <w:t xml:space="preserve"> [Web Page]</w:t>
      </w:r>
      <w:r w:rsidR="00EA7F4E">
        <w:t xml:space="preserve">. Retrieved from </w:t>
      </w:r>
      <w:r w:rsidR="00217C76" w:rsidRPr="00217C76">
        <w:t>http://files.astd.org.s3.amazonaws.com/Bookshelves/Job%20Aids/Compentency%20Model/Action%20Planning%20for%20Individuals.pdf?_ga=2.44576868.1112127462.1518928987-1304674894.1515462007</w:t>
      </w:r>
    </w:p>
    <w:p w:rsidR="00217C76" w:rsidRPr="00DF2DAD" w:rsidRDefault="00217C76" w:rsidP="000110BA">
      <w:pPr>
        <w:spacing w:line="480" w:lineRule="auto"/>
        <w:ind w:left="720" w:hanging="720"/>
      </w:pPr>
      <w:r w:rsidRPr="00217C76">
        <w:t xml:space="preserve">Van Dam, N. (2012, April). </w:t>
      </w:r>
      <w:proofErr w:type="gramStart"/>
      <w:r w:rsidRPr="00217C76">
        <w:t>Designing learning for a 21st century workforce.</w:t>
      </w:r>
      <w:proofErr w:type="gramEnd"/>
      <w:r w:rsidRPr="00217C76">
        <w:t xml:space="preserve"> T+D, 66(4), 49-53. Retrieved from https://www.td.org/td-magazine</w:t>
      </w:r>
    </w:p>
    <w:sectPr w:rsidR="00217C76" w:rsidRPr="00DF2DAD" w:rsidSect="0092177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A3" w:rsidRDefault="000E6EA3" w:rsidP="00921778">
      <w:pPr>
        <w:spacing w:after="0" w:line="240" w:lineRule="auto"/>
      </w:pPr>
      <w:r>
        <w:separator/>
      </w:r>
    </w:p>
  </w:endnote>
  <w:endnote w:type="continuationSeparator" w:id="0">
    <w:p w:rsidR="000E6EA3" w:rsidRDefault="000E6EA3"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A3" w:rsidRDefault="000E6EA3" w:rsidP="00921778">
      <w:pPr>
        <w:spacing w:after="0" w:line="240" w:lineRule="auto"/>
      </w:pPr>
      <w:r>
        <w:separator/>
      </w:r>
    </w:p>
  </w:footnote>
  <w:footnote w:type="continuationSeparator" w:id="0">
    <w:p w:rsidR="000E6EA3" w:rsidRDefault="000E6EA3"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FA00B4">
    <w:pPr>
      <w:pStyle w:val="Header"/>
    </w:pPr>
    <w:r>
      <w:t>ATD COMPETENCIES SELF-ASSESSMENT</w:t>
    </w:r>
    <w:r w:rsidR="006A3BA9">
      <w:tab/>
    </w:r>
    <w:r w:rsidR="006A3BA9">
      <w:tab/>
    </w:r>
    <w:r w:rsidR="006A3BA9">
      <w:fldChar w:fldCharType="begin"/>
    </w:r>
    <w:r w:rsidR="006A3BA9">
      <w:instrText xml:space="preserve"> PAGE   \* MERGEFORMAT </w:instrText>
    </w:r>
    <w:r w:rsidR="006A3BA9">
      <w:fldChar w:fldCharType="separate"/>
    </w:r>
    <w:r w:rsidR="00F33155">
      <w:rPr>
        <w:noProof/>
      </w:rPr>
      <w:t>7</w:t>
    </w:r>
    <w:r w:rsidR="006A3BA9">
      <w:rPr>
        <w:noProof/>
      </w:rPr>
      <w:fldChar w:fldCharType="end"/>
    </w:r>
  </w:p>
  <w:p w:rsidR="00921778" w:rsidRDefault="00921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921778">
    <w:pPr>
      <w:pStyle w:val="Header"/>
    </w:pPr>
    <w:r>
      <w:t xml:space="preserve">Running Head: </w:t>
    </w:r>
    <w:r w:rsidR="00EB16BD">
      <w:t>ATD COMPETENCIES SELF-ASSESSMENT</w:t>
    </w:r>
    <w:r w:rsidR="00E345BA">
      <w:tab/>
    </w:r>
    <w:r>
      <w:tab/>
    </w:r>
    <w:r>
      <w:fldChar w:fldCharType="begin"/>
    </w:r>
    <w:r>
      <w:instrText xml:space="preserve"> PAGE   \* MERGEFORMAT </w:instrText>
    </w:r>
    <w:r>
      <w:fldChar w:fldCharType="separate"/>
    </w:r>
    <w:r w:rsidR="00F33155">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012D3"/>
    <w:rsid w:val="000110BA"/>
    <w:rsid w:val="0002201E"/>
    <w:rsid w:val="000362C0"/>
    <w:rsid w:val="00054B9D"/>
    <w:rsid w:val="00063B6F"/>
    <w:rsid w:val="000810EB"/>
    <w:rsid w:val="00082D01"/>
    <w:rsid w:val="000865A4"/>
    <w:rsid w:val="000C3D4E"/>
    <w:rsid w:val="000D04DC"/>
    <w:rsid w:val="000D1FF2"/>
    <w:rsid w:val="000E6EA3"/>
    <w:rsid w:val="000F1D5A"/>
    <w:rsid w:val="00104C02"/>
    <w:rsid w:val="00141BAB"/>
    <w:rsid w:val="00145D98"/>
    <w:rsid w:val="00146433"/>
    <w:rsid w:val="00160F3D"/>
    <w:rsid w:val="0018317E"/>
    <w:rsid w:val="001940B8"/>
    <w:rsid w:val="001B4BBC"/>
    <w:rsid w:val="001D0907"/>
    <w:rsid w:val="001F359A"/>
    <w:rsid w:val="001F4AA8"/>
    <w:rsid w:val="00210360"/>
    <w:rsid w:val="00217C76"/>
    <w:rsid w:val="00251DD5"/>
    <w:rsid w:val="0025289D"/>
    <w:rsid w:val="00256D91"/>
    <w:rsid w:val="0029580C"/>
    <w:rsid w:val="002E5038"/>
    <w:rsid w:val="00324AF8"/>
    <w:rsid w:val="00345220"/>
    <w:rsid w:val="003567A8"/>
    <w:rsid w:val="00367A4A"/>
    <w:rsid w:val="00391DBC"/>
    <w:rsid w:val="003A3521"/>
    <w:rsid w:val="003B0E51"/>
    <w:rsid w:val="003C3149"/>
    <w:rsid w:val="003D42E0"/>
    <w:rsid w:val="003E0DCC"/>
    <w:rsid w:val="003F6BF0"/>
    <w:rsid w:val="004157ED"/>
    <w:rsid w:val="00477D67"/>
    <w:rsid w:val="00480F01"/>
    <w:rsid w:val="004A523E"/>
    <w:rsid w:val="004A731C"/>
    <w:rsid w:val="004B26D9"/>
    <w:rsid w:val="004C1C18"/>
    <w:rsid w:val="00550C22"/>
    <w:rsid w:val="005618B6"/>
    <w:rsid w:val="00583B3B"/>
    <w:rsid w:val="00586871"/>
    <w:rsid w:val="00587298"/>
    <w:rsid w:val="005A455A"/>
    <w:rsid w:val="005F61BD"/>
    <w:rsid w:val="005F7578"/>
    <w:rsid w:val="00603163"/>
    <w:rsid w:val="00615428"/>
    <w:rsid w:val="00617549"/>
    <w:rsid w:val="00630D34"/>
    <w:rsid w:val="00633EFC"/>
    <w:rsid w:val="00651AF3"/>
    <w:rsid w:val="006568AC"/>
    <w:rsid w:val="00660192"/>
    <w:rsid w:val="00667DD5"/>
    <w:rsid w:val="006934B7"/>
    <w:rsid w:val="00695209"/>
    <w:rsid w:val="006972A6"/>
    <w:rsid w:val="006A3BA9"/>
    <w:rsid w:val="006C349A"/>
    <w:rsid w:val="006C395B"/>
    <w:rsid w:val="006D18C4"/>
    <w:rsid w:val="00711379"/>
    <w:rsid w:val="007134FA"/>
    <w:rsid w:val="00723A16"/>
    <w:rsid w:val="00780C45"/>
    <w:rsid w:val="00796F7C"/>
    <w:rsid w:val="007B1BBE"/>
    <w:rsid w:val="007C59D4"/>
    <w:rsid w:val="00801481"/>
    <w:rsid w:val="00811D18"/>
    <w:rsid w:val="0081502A"/>
    <w:rsid w:val="00825CA2"/>
    <w:rsid w:val="00847BC9"/>
    <w:rsid w:val="0085115B"/>
    <w:rsid w:val="0087120D"/>
    <w:rsid w:val="0088280D"/>
    <w:rsid w:val="00885497"/>
    <w:rsid w:val="00891BBE"/>
    <w:rsid w:val="008C1869"/>
    <w:rsid w:val="008D4561"/>
    <w:rsid w:val="008D6093"/>
    <w:rsid w:val="008F4284"/>
    <w:rsid w:val="00903B10"/>
    <w:rsid w:val="009159D3"/>
    <w:rsid w:val="00921778"/>
    <w:rsid w:val="00945602"/>
    <w:rsid w:val="0095262F"/>
    <w:rsid w:val="009563C1"/>
    <w:rsid w:val="00982172"/>
    <w:rsid w:val="00992356"/>
    <w:rsid w:val="009A1DEA"/>
    <w:rsid w:val="009B2AC1"/>
    <w:rsid w:val="009E0EBE"/>
    <w:rsid w:val="009E12EE"/>
    <w:rsid w:val="009E1341"/>
    <w:rsid w:val="009E1591"/>
    <w:rsid w:val="009F6E86"/>
    <w:rsid w:val="00A23A0E"/>
    <w:rsid w:val="00A47459"/>
    <w:rsid w:val="00AB0CF0"/>
    <w:rsid w:val="00AB603F"/>
    <w:rsid w:val="00AF3544"/>
    <w:rsid w:val="00AF54FF"/>
    <w:rsid w:val="00B255C9"/>
    <w:rsid w:val="00B36DE9"/>
    <w:rsid w:val="00B43A91"/>
    <w:rsid w:val="00B5008C"/>
    <w:rsid w:val="00B56623"/>
    <w:rsid w:val="00B9373F"/>
    <w:rsid w:val="00BA2415"/>
    <w:rsid w:val="00BB23ED"/>
    <w:rsid w:val="00BE33EB"/>
    <w:rsid w:val="00BE3745"/>
    <w:rsid w:val="00BE43AF"/>
    <w:rsid w:val="00BE538A"/>
    <w:rsid w:val="00BE7BF4"/>
    <w:rsid w:val="00C02663"/>
    <w:rsid w:val="00C061AC"/>
    <w:rsid w:val="00C25016"/>
    <w:rsid w:val="00C47228"/>
    <w:rsid w:val="00C64780"/>
    <w:rsid w:val="00C6536B"/>
    <w:rsid w:val="00C850E3"/>
    <w:rsid w:val="00C97234"/>
    <w:rsid w:val="00CC5DAB"/>
    <w:rsid w:val="00CE77A7"/>
    <w:rsid w:val="00CE7ED5"/>
    <w:rsid w:val="00CF3684"/>
    <w:rsid w:val="00D048BF"/>
    <w:rsid w:val="00D13C9D"/>
    <w:rsid w:val="00D244B9"/>
    <w:rsid w:val="00D52EFD"/>
    <w:rsid w:val="00D63EF5"/>
    <w:rsid w:val="00D67AEB"/>
    <w:rsid w:val="00D85503"/>
    <w:rsid w:val="00D9285B"/>
    <w:rsid w:val="00DA064F"/>
    <w:rsid w:val="00DC23A3"/>
    <w:rsid w:val="00DC2FD3"/>
    <w:rsid w:val="00DC70AB"/>
    <w:rsid w:val="00DC799E"/>
    <w:rsid w:val="00DD1DA9"/>
    <w:rsid w:val="00DE1C63"/>
    <w:rsid w:val="00DE7035"/>
    <w:rsid w:val="00DF2C5B"/>
    <w:rsid w:val="00DF2DAD"/>
    <w:rsid w:val="00E14A6C"/>
    <w:rsid w:val="00E33854"/>
    <w:rsid w:val="00E345BA"/>
    <w:rsid w:val="00E50397"/>
    <w:rsid w:val="00E53BC9"/>
    <w:rsid w:val="00E6618F"/>
    <w:rsid w:val="00E76281"/>
    <w:rsid w:val="00E77589"/>
    <w:rsid w:val="00EA7F4E"/>
    <w:rsid w:val="00EB16BD"/>
    <w:rsid w:val="00EC1EC6"/>
    <w:rsid w:val="00EE0CEE"/>
    <w:rsid w:val="00EE3CA0"/>
    <w:rsid w:val="00F15E29"/>
    <w:rsid w:val="00F33155"/>
    <w:rsid w:val="00F54718"/>
    <w:rsid w:val="00F54BDB"/>
    <w:rsid w:val="00F54FF1"/>
    <w:rsid w:val="00F661CD"/>
    <w:rsid w:val="00FA00B4"/>
    <w:rsid w:val="00FB7F26"/>
    <w:rsid w:val="00FE1081"/>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semiHidden/>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semiHidden/>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468">
      <w:bodyDiv w:val="1"/>
      <w:marLeft w:val="0"/>
      <w:marRight w:val="0"/>
      <w:marTop w:val="0"/>
      <w:marBottom w:val="0"/>
      <w:divBdr>
        <w:top w:val="none" w:sz="0" w:space="0" w:color="auto"/>
        <w:left w:val="none" w:sz="0" w:space="0" w:color="auto"/>
        <w:bottom w:val="none" w:sz="0" w:space="0" w:color="auto"/>
        <w:right w:val="none" w:sz="0" w:space="0" w:color="auto"/>
      </w:divBdr>
    </w:div>
    <w:div w:id="1811434622">
      <w:bodyDiv w:val="1"/>
      <w:marLeft w:val="0"/>
      <w:marRight w:val="0"/>
      <w:marTop w:val="0"/>
      <w:marBottom w:val="0"/>
      <w:divBdr>
        <w:top w:val="none" w:sz="0" w:space="0" w:color="auto"/>
        <w:left w:val="none" w:sz="0" w:space="0" w:color="auto"/>
        <w:bottom w:val="none" w:sz="0" w:space="0" w:color="auto"/>
        <w:right w:val="none" w:sz="0" w:space="0" w:color="auto"/>
      </w:divBdr>
      <w:divsChild>
        <w:div w:id="1193615925">
          <w:marLeft w:val="0"/>
          <w:marRight w:val="0"/>
          <w:marTop w:val="0"/>
          <w:marBottom w:val="0"/>
          <w:divBdr>
            <w:top w:val="none" w:sz="0" w:space="0" w:color="auto"/>
            <w:left w:val="none" w:sz="0" w:space="0" w:color="auto"/>
            <w:bottom w:val="none" w:sz="0" w:space="0" w:color="auto"/>
            <w:right w:val="none" w:sz="0" w:space="0" w:color="auto"/>
          </w:divBdr>
        </w:div>
        <w:div w:id="1497922274">
          <w:marLeft w:val="0"/>
          <w:marRight w:val="0"/>
          <w:marTop w:val="0"/>
          <w:marBottom w:val="0"/>
          <w:divBdr>
            <w:top w:val="none" w:sz="0" w:space="0" w:color="auto"/>
            <w:left w:val="none" w:sz="0" w:space="0" w:color="auto"/>
            <w:bottom w:val="none" w:sz="0" w:space="0" w:color="auto"/>
            <w:right w:val="none" w:sz="0" w:space="0" w:color="auto"/>
          </w:divBdr>
        </w:div>
        <w:div w:id="1692876255">
          <w:marLeft w:val="0"/>
          <w:marRight w:val="0"/>
          <w:marTop w:val="0"/>
          <w:marBottom w:val="0"/>
          <w:divBdr>
            <w:top w:val="none" w:sz="0" w:space="0" w:color="auto"/>
            <w:left w:val="none" w:sz="0" w:space="0" w:color="auto"/>
            <w:bottom w:val="none" w:sz="0" w:space="0" w:color="auto"/>
            <w:right w:val="none" w:sz="0" w:space="0" w:color="auto"/>
          </w:divBdr>
        </w:div>
        <w:div w:id="726416443">
          <w:marLeft w:val="0"/>
          <w:marRight w:val="0"/>
          <w:marTop w:val="0"/>
          <w:marBottom w:val="0"/>
          <w:divBdr>
            <w:top w:val="none" w:sz="0" w:space="0" w:color="auto"/>
            <w:left w:val="none" w:sz="0" w:space="0" w:color="auto"/>
            <w:bottom w:val="none" w:sz="0" w:space="0" w:color="auto"/>
            <w:right w:val="none" w:sz="0" w:space="0" w:color="auto"/>
          </w:divBdr>
        </w:div>
        <w:div w:id="708526910">
          <w:marLeft w:val="0"/>
          <w:marRight w:val="0"/>
          <w:marTop w:val="0"/>
          <w:marBottom w:val="0"/>
          <w:divBdr>
            <w:top w:val="none" w:sz="0" w:space="0" w:color="auto"/>
            <w:left w:val="none" w:sz="0" w:space="0" w:color="auto"/>
            <w:bottom w:val="none" w:sz="0" w:space="0" w:color="auto"/>
            <w:right w:val="none" w:sz="0" w:space="0" w:color="auto"/>
          </w:divBdr>
        </w:div>
        <w:div w:id="1247617989">
          <w:marLeft w:val="0"/>
          <w:marRight w:val="0"/>
          <w:marTop w:val="0"/>
          <w:marBottom w:val="0"/>
          <w:divBdr>
            <w:top w:val="none" w:sz="0" w:space="0" w:color="auto"/>
            <w:left w:val="none" w:sz="0" w:space="0" w:color="auto"/>
            <w:bottom w:val="none" w:sz="0" w:space="0" w:color="auto"/>
            <w:right w:val="none" w:sz="0" w:space="0" w:color="auto"/>
          </w:divBdr>
        </w:div>
        <w:div w:id="1632636627">
          <w:marLeft w:val="0"/>
          <w:marRight w:val="0"/>
          <w:marTop w:val="0"/>
          <w:marBottom w:val="0"/>
          <w:divBdr>
            <w:top w:val="none" w:sz="0" w:space="0" w:color="auto"/>
            <w:left w:val="none" w:sz="0" w:space="0" w:color="auto"/>
            <w:bottom w:val="none" w:sz="0" w:space="0" w:color="auto"/>
            <w:right w:val="none" w:sz="0" w:space="0" w:color="auto"/>
          </w:divBdr>
        </w:div>
        <w:div w:id="1157648898">
          <w:marLeft w:val="0"/>
          <w:marRight w:val="0"/>
          <w:marTop w:val="0"/>
          <w:marBottom w:val="0"/>
          <w:divBdr>
            <w:top w:val="none" w:sz="0" w:space="0" w:color="auto"/>
            <w:left w:val="none" w:sz="0" w:space="0" w:color="auto"/>
            <w:bottom w:val="none" w:sz="0" w:space="0" w:color="auto"/>
            <w:right w:val="none" w:sz="0" w:space="0" w:color="auto"/>
          </w:divBdr>
        </w:div>
        <w:div w:id="1161578053">
          <w:marLeft w:val="0"/>
          <w:marRight w:val="0"/>
          <w:marTop w:val="0"/>
          <w:marBottom w:val="0"/>
          <w:divBdr>
            <w:top w:val="none" w:sz="0" w:space="0" w:color="auto"/>
            <w:left w:val="none" w:sz="0" w:space="0" w:color="auto"/>
            <w:bottom w:val="none" w:sz="0" w:space="0" w:color="auto"/>
            <w:right w:val="none" w:sz="0" w:space="0" w:color="auto"/>
          </w:divBdr>
        </w:div>
        <w:div w:id="1790466032">
          <w:marLeft w:val="0"/>
          <w:marRight w:val="0"/>
          <w:marTop w:val="0"/>
          <w:marBottom w:val="0"/>
          <w:divBdr>
            <w:top w:val="none" w:sz="0" w:space="0" w:color="auto"/>
            <w:left w:val="none" w:sz="0" w:space="0" w:color="auto"/>
            <w:bottom w:val="none" w:sz="0" w:space="0" w:color="auto"/>
            <w:right w:val="none" w:sz="0" w:space="0" w:color="auto"/>
          </w:divBdr>
        </w:div>
        <w:div w:id="974526953">
          <w:marLeft w:val="0"/>
          <w:marRight w:val="0"/>
          <w:marTop w:val="0"/>
          <w:marBottom w:val="0"/>
          <w:divBdr>
            <w:top w:val="none" w:sz="0" w:space="0" w:color="auto"/>
            <w:left w:val="none" w:sz="0" w:space="0" w:color="auto"/>
            <w:bottom w:val="none" w:sz="0" w:space="0" w:color="auto"/>
            <w:right w:val="none" w:sz="0" w:space="0" w:color="auto"/>
          </w:divBdr>
        </w:div>
        <w:div w:id="422459272">
          <w:marLeft w:val="0"/>
          <w:marRight w:val="0"/>
          <w:marTop w:val="0"/>
          <w:marBottom w:val="0"/>
          <w:divBdr>
            <w:top w:val="none" w:sz="0" w:space="0" w:color="auto"/>
            <w:left w:val="none" w:sz="0" w:space="0" w:color="auto"/>
            <w:bottom w:val="none" w:sz="0" w:space="0" w:color="auto"/>
            <w:right w:val="none" w:sz="0" w:space="0" w:color="auto"/>
          </w:divBdr>
        </w:div>
        <w:div w:id="2074698752">
          <w:marLeft w:val="0"/>
          <w:marRight w:val="0"/>
          <w:marTop w:val="0"/>
          <w:marBottom w:val="0"/>
          <w:divBdr>
            <w:top w:val="none" w:sz="0" w:space="0" w:color="auto"/>
            <w:left w:val="none" w:sz="0" w:space="0" w:color="auto"/>
            <w:bottom w:val="none" w:sz="0" w:space="0" w:color="auto"/>
            <w:right w:val="none" w:sz="0" w:space="0" w:color="auto"/>
          </w:divBdr>
        </w:div>
        <w:div w:id="2115706145">
          <w:marLeft w:val="0"/>
          <w:marRight w:val="0"/>
          <w:marTop w:val="0"/>
          <w:marBottom w:val="0"/>
          <w:divBdr>
            <w:top w:val="none" w:sz="0" w:space="0" w:color="auto"/>
            <w:left w:val="none" w:sz="0" w:space="0" w:color="auto"/>
            <w:bottom w:val="none" w:sz="0" w:space="0" w:color="auto"/>
            <w:right w:val="none" w:sz="0" w:space="0" w:color="auto"/>
          </w:divBdr>
        </w:div>
        <w:div w:id="5018179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242380244">
          <w:marLeft w:val="0"/>
          <w:marRight w:val="0"/>
          <w:marTop w:val="0"/>
          <w:marBottom w:val="0"/>
          <w:divBdr>
            <w:top w:val="none" w:sz="0" w:space="0" w:color="auto"/>
            <w:left w:val="none" w:sz="0" w:space="0" w:color="auto"/>
            <w:bottom w:val="none" w:sz="0" w:space="0" w:color="auto"/>
            <w:right w:val="none" w:sz="0" w:space="0" w:color="auto"/>
          </w:divBdr>
        </w:div>
        <w:div w:id="469575">
          <w:marLeft w:val="0"/>
          <w:marRight w:val="0"/>
          <w:marTop w:val="0"/>
          <w:marBottom w:val="0"/>
          <w:divBdr>
            <w:top w:val="none" w:sz="0" w:space="0" w:color="auto"/>
            <w:left w:val="none" w:sz="0" w:space="0" w:color="auto"/>
            <w:bottom w:val="none" w:sz="0" w:space="0" w:color="auto"/>
            <w:right w:val="none" w:sz="0" w:space="0" w:color="auto"/>
          </w:divBdr>
        </w:div>
        <w:div w:id="1851942017">
          <w:marLeft w:val="0"/>
          <w:marRight w:val="0"/>
          <w:marTop w:val="0"/>
          <w:marBottom w:val="0"/>
          <w:divBdr>
            <w:top w:val="none" w:sz="0" w:space="0" w:color="auto"/>
            <w:left w:val="none" w:sz="0" w:space="0" w:color="auto"/>
            <w:bottom w:val="none" w:sz="0" w:space="0" w:color="auto"/>
            <w:right w:val="none" w:sz="0" w:space="0" w:color="auto"/>
          </w:divBdr>
        </w:div>
        <w:div w:id="112781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810-7B22-41B4-BA8F-BF23C0A4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7</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51</cp:revision>
  <dcterms:created xsi:type="dcterms:W3CDTF">2013-10-02T00:58:00Z</dcterms:created>
  <dcterms:modified xsi:type="dcterms:W3CDTF">2018-02-26T02:57:00Z</dcterms:modified>
</cp:coreProperties>
</file>