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03" w:rsidRPr="00921778" w:rsidRDefault="00A23A0E">
      <w:pPr>
        <w:rPr>
          <w:b/>
        </w:rPr>
      </w:pPr>
      <w:r>
        <w:rPr>
          <w:b/>
        </w:rPr>
        <w:t>Joanne Deitsch</w:t>
      </w:r>
      <w:r>
        <w:rPr>
          <w:b/>
        </w:rPr>
        <w:br/>
      </w:r>
      <w:r w:rsidR="00056682">
        <w:rPr>
          <w:b/>
        </w:rPr>
        <w:t>DETT 611</w:t>
      </w:r>
      <w:r w:rsidR="0090183D">
        <w:rPr>
          <w:b/>
        </w:rPr>
        <w:t xml:space="preserve"> </w:t>
      </w:r>
      <w:r w:rsidR="003A3521" w:rsidRPr="00921778">
        <w:rPr>
          <w:b/>
        </w:rPr>
        <w:t>Section 9</w:t>
      </w:r>
      <w:r>
        <w:rPr>
          <w:b/>
        </w:rPr>
        <w:t>040</w:t>
      </w:r>
      <w:r w:rsidR="003A3521" w:rsidRPr="00921778">
        <w:rPr>
          <w:b/>
        </w:rPr>
        <w:br/>
      </w:r>
      <w:r w:rsidR="00056682">
        <w:rPr>
          <w:b/>
        </w:rPr>
        <w:t>12</w:t>
      </w:r>
      <w:r w:rsidR="003A3521" w:rsidRPr="00921778">
        <w:rPr>
          <w:b/>
        </w:rPr>
        <w:t>-</w:t>
      </w:r>
      <w:r w:rsidR="00056682">
        <w:rPr>
          <w:b/>
        </w:rPr>
        <w:t xml:space="preserve">February-2017 </w:t>
      </w:r>
      <w:r w:rsidR="003A3521" w:rsidRPr="00921778">
        <w:rPr>
          <w:b/>
        </w:rPr>
        <w:br/>
      </w:r>
    </w:p>
    <w:p w:rsidR="00921778" w:rsidRDefault="00921778"/>
    <w:p w:rsidR="006A3BA9" w:rsidRPr="00056682" w:rsidRDefault="00F767BA" w:rsidP="0014141D">
      <w:pPr>
        <w:spacing w:line="480" w:lineRule="auto"/>
        <w:jc w:val="center"/>
        <w:rPr>
          <w:b/>
        </w:rPr>
      </w:pPr>
      <w:r>
        <w:rPr>
          <w:b/>
        </w:rPr>
        <w:t xml:space="preserve">Copyright </w:t>
      </w:r>
      <w:r w:rsidR="00056682" w:rsidRPr="00056682">
        <w:rPr>
          <w:b/>
        </w:rPr>
        <w:t>Article Review Project</w:t>
      </w:r>
    </w:p>
    <w:p w:rsidR="00C9588B" w:rsidRDefault="00BF44D5" w:rsidP="0014141D">
      <w:pPr>
        <w:spacing w:line="480" w:lineRule="auto"/>
        <w:jc w:val="center"/>
        <w:rPr>
          <w:rFonts w:eastAsia="Times New Roman"/>
          <w:sz w:val="20"/>
          <w:szCs w:val="20"/>
        </w:rPr>
      </w:pPr>
      <w:r>
        <w:rPr>
          <w:b/>
        </w:rPr>
        <w:t>Introduction</w:t>
      </w:r>
    </w:p>
    <w:p w:rsidR="009E60E1" w:rsidRDefault="000338BF" w:rsidP="0014141D">
      <w:pPr>
        <w:spacing w:line="480" w:lineRule="auto"/>
        <w:ind w:firstLine="720"/>
      </w:pPr>
      <w:r>
        <w:t>This paper explores the article</w:t>
      </w:r>
      <w:r w:rsidRPr="00363057">
        <w:rPr>
          <w:i/>
        </w:rPr>
        <w:t xml:space="preserve"> Open Educational Resources: Enabling universal </w:t>
      </w:r>
      <w:r>
        <w:rPr>
          <w:i/>
        </w:rPr>
        <w:t>education</w:t>
      </w:r>
      <w:r>
        <w:t xml:space="preserve"> (Caswell, Henson, Jensen, &amp; Wiley, 2008).</w:t>
      </w:r>
      <w:r w:rsidR="00BF44D5">
        <w:t xml:space="preserve"> </w:t>
      </w:r>
      <w:r w:rsidR="002671A7">
        <w:t>A summary of the article,</w:t>
      </w:r>
      <w:r>
        <w:t xml:space="preserve"> t</w:t>
      </w:r>
      <w:r w:rsidR="00BF44D5">
        <w:t>he intellectual</w:t>
      </w:r>
      <w:r w:rsidR="002671A7">
        <w:t xml:space="preserve"> property</w:t>
      </w:r>
      <w:r w:rsidR="00BF44D5">
        <w:t xml:space="preserve"> di</w:t>
      </w:r>
      <w:r>
        <w:t>men</w:t>
      </w:r>
      <w:r w:rsidR="002671A7">
        <w:t xml:space="preserve">sions </w:t>
      </w:r>
      <w:r w:rsidR="00D73630">
        <w:t xml:space="preserve">related to open educational </w:t>
      </w:r>
      <w:r w:rsidR="002671A7">
        <w:t>resou</w:t>
      </w:r>
      <w:r w:rsidR="00D73630">
        <w:t>r</w:t>
      </w:r>
      <w:r w:rsidR="002671A7">
        <w:t>ces</w:t>
      </w:r>
      <w:r w:rsidR="00D73630">
        <w:t xml:space="preserve">, and associated challenges of implementing </w:t>
      </w:r>
      <w:r w:rsidR="00A853D3">
        <w:t>open educational resources (</w:t>
      </w:r>
      <w:r w:rsidR="00D73630">
        <w:t>OER</w:t>
      </w:r>
      <w:r w:rsidR="00A853D3">
        <w:t>)</w:t>
      </w:r>
      <w:r w:rsidR="00D73630">
        <w:t xml:space="preserve"> are covered in this paper. </w:t>
      </w:r>
      <w:r w:rsidR="00A853D3">
        <w:t>While the student</w:t>
      </w:r>
      <w:r w:rsidR="000E1926">
        <w:t xml:space="preserve"> author agrees with</w:t>
      </w:r>
      <w:r w:rsidR="00A853D3">
        <w:t xml:space="preserve"> Caswell et al. (2008) </w:t>
      </w:r>
      <w:r w:rsidR="004239F2">
        <w:t>on many topics there are some challenges the</w:t>
      </w:r>
      <w:r w:rsidR="00A853D3">
        <w:t xml:space="preserve"> student author </w:t>
      </w:r>
      <w:r w:rsidR="004239F2">
        <w:t>notes as not</w:t>
      </w:r>
      <w:r w:rsidR="00A853D3">
        <w:t xml:space="preserve"> adequately addressed</w:t>
      </w:r>
      <w:r w:rsidR="004239F2">
        <w:t>.</w:t>
      </w:r>
      <w:bookmarkStart w:id="0" w:name="_GoBack"/>
      <w:bookmarkEnd w:id="0"/>
    </w:p>
    <w:p w:rsidR="0063192B" w:rsidRDefault="004A4B02" w:rsidP="0014141D">
      <w:pPr>
        <w:spacing w:line="480" w:lineRule="auto"/>
        <w:jc w:val="center"/>
        <w:rPr>
          <w:b/>
        </w:rPr>
      </w:pPr>
      <w:r>
        <w:rPr>
          <w:b/>
        </w:rPr>
        <w:t>Article Summary</w:t>
      </w:r>
    </w:p>
    <w:p w:rsidR="004A4B02" w:rsidRDefault="00FA009B" w:rsidP="00363057">
      <w:pPr>
        <w:spacing w:line="480" w:lineRule="auto"/>
      </w:pPr>
      <w:r>
        <w:rPr>
          <w:b/>
        </w:rPr>
        <w:tab/>
      </w:r>
      <w:r w:rsidR="00AA52FC" w:rsidRPr="00AA52FC">
        <w:t>The introduction</w:t>
      </w:r>
      <w:r w:rsidR="00AA52FC">
        <w:rPr>
          <w:b/>
        </w:rPr>
        <w:t xml:space="preserve"> </w:t>
      </w:r>
      <w:r w:rsidR="00AA52FC">
        <w:t>discusses how c</w:t>
      </w:r>
      <w:r w:rsidR="00B24A85">
        <w:t xml:space="preserve">ourse development for both traditional and distance education cost educational </w:t>
      </w:r>
      <w:r w:rsidR="00B87213">
        <w:t>institution</w:t>
      </w:r>
      <w:r w:rsidR="00B24A85">
        <w:t>s in terms of faculty and financial resources</w:t>
      </w:r>
      <w:r w:rsidR="00B24A85" w:rsidRPr="00B24A85">
        <w:t xml:space="preserve"> </w:t>
      </w:r>
      <w:r w:rsidR="00B24A85">
        <w:t>(Caswell et al., 2008)</w:t>
      </w:r>
      <w:r w:rsidR="00B24A85" w:rsidRPr="00B24A85">
        <w:t xml:space="preserve">. However, </w:t>
      </w:r>
      <w:r w:rsidR="00B24A85">
        <w:t>t</w:t>
      </w:r>
      <w:r w:rsidR="00B24A85" w:rsidRPr="00B24A85">
        <w:t>echnology allows</w:t>
      </w:r>
      <w:r w:rsidR="00B24A85">
        <w:t xml:space="preserve"> </w:t>
      </w:r>
      <w:r w:rsidR="0062524D">
        <w:t xml:space="preserve">the reproduction and distribution of </w:t>
      </w:r>
      <w:r w:rsidR="00B24A85">
        <w:t xml:space="preserve">distance education courses at </w:t>
      </w:r>
      <w:r w:rsidR="00192041">
        <w:t>virtually no cost</w:t>
      </w:r>
      <w:r w:rsidR="00503BBF" w:rsidRPr="00B24A85">
        <w:t xml:space="preserve"> (Caswell et al., 2008)</w:t>
      </w:r>
      <w:r w:rsidR="00192041">
        <w:t xml:space="preserve">. The </w:t>
      </w:r>
      <w:r w:rsidR="00EB32B6">
        <w:t xml:space="preserve">author’s believe that </w:t>
      </w:r>
      <w:r w:rsidR="00192041">
        <w:t xml:space="preserve">open educational initiative </w:t>
      </w:r>
      <w:r w:rsidR="0062524D">
        <w:t>can fulfill</w:t>
      </w:r>
      <w:r w:rsidR="00192041">
        <w:t xml:space="preserve"> </w:t>
      </w:r>
      <w:r w:rsidR="00EB32B6">
        <w:t xml:space="preserve">the United Nation’s (1948) </w:t>
      </w:r>
      <w:r w:rsidR="00EB32B6" w:rsidRPr="00EB32B6">
        <w:t>Article 26 of the Universal Declaration of Human Rights</w:t>
      </w:r>
      <w:r w:rsidR="0062524D">
        <w:t xml:space="preserve"> that promises the equal accessibility of</w:t>
      </w:r>
      <w:r w:rsidR="00EB32B6">
        <w:t xml:space="preserve"> higher education to all people.</w:t>
      </w:r>
    </w:p>
    <w:p w:rsidR="00AA52FC" w:rsidRDefault="00AA52FC" w:rsidP="00AA52FC">
      <w:pPr>
        <w:spacing w:line="480" w:lineRule="auto"/>
        <w:ind w:firstLine="720"/>
      </w:pPr>
      <w:r>
        <w:t>An overvi</w:t>
      </w:r>
      <w:r w:rsidR="000E1926">
        <w:t xml:space="preserve">ew of </w:t>
      </w:r>
      <w:r w:rsidR="000E1926">
        <w:rPr>
          <w:sz w:val="23"/>
          <w:szCs w:val="23"/>
        </w:rPr>
        <w:t>Massachusetts Institute of Technology’s (MIT)</w:t>
      </w:r>
      <w:r w:rsidR="000E1926">
        <w:t xml:space="preserve"> open courseware </w:t>
      </w:r>
      <w:r>
        <w:rPr>
          <w:sz w:val="23"/>
          <w:szCs w:val="23"/>
        </w:rPr>
        <w:t xml:space="preserve">comprises the next topic </w:t>
      </w:r>
      <w:r w:rsidRPr="00B24A85">
        <w:t>(Caswell et al., 2008)</w:t>
      </w:r>
      <w:r>
        <w:t xml:space="preserve">. </w:t>
      </w:r>
      <w:r w:rsidR="00CE058A">
        <w:t xml:space="preserve">The aims of the project are twofold: the first to provide </w:t>
      </w:r>
      <w:r w:rsidR="00CE058A" w:rsidRPr="00CE058A">
        <w:t xml:space="preserve">free access to virtually all MIT course materials for educators, students, and individual learners </w:t>
      </w:r>
      <w:r w:rsidR="00CE058A" w:rsidRPr="00CE058A">
        <w:lastRenderedPageBreak/>
        <w:t>around the world</w:t>
      </w:r>
      <w:r w:rsidR="00CE058A">
        <w:t xml:space="preserve"> and second to extend the impact of open courseware to other organizations </w:t>
      </w:r>
      <w:r w:rsidR="00CE058A" w:rsidRPr="00B24A85">
        <w:t>(Caswell et al., 2008)</w:t>
      </w:r>
      <w:r w:rsidR="00CE058A">
        <w:t>. This initiative fully aligns with the</w:t>
      </w:r>
      <w:r w:rsidR="00CE058A" w:rsidRPr="00CE058A">
        <w:t xml:space="preserve"> purpose of the Open Educational Resources movement </w:t>
      </w:r>
      <w:r w:rsidR="00CE058A">
        <w:t>to provide</w:t>
      </w:r>
      <w:r w:rsidR="00CE058A" w:rsidRPr="00CE058A">
        <w:t xml:space="preserve"> open access to high qualit</w:t>
      </w:r>
      <w:r w:rsidR="00CE058A">
        <w:t xml:space="preserve">y digital educational materials </w:t>
      </w:r>
      <w:r w:rsidR="00CE058A" w:rsidRPr="00B24A85">
        <w:t>(Caswell et al., 2008)</w:t>
      </w:r>
      <w:r w:rsidR="00CE058A">
        <w:t>.</w:t>
      </w:r>
    </w:p>
    <w:p w:rsidR="002357F0" w:rsidRDefault="00CE058A" w:rsidP="002357F0">
      <w:pPr>
        <w:spacing w:line="480" w:lineRule="auto"/>
        <w:ind w:firstLine="720"/>
      </w:pPr>
      <w:r>
        <w:t>Creative commons</w:t>
      </w:r>
      <w:r w:rsidR="002357F0">
        <w:t xml:space="preserve"> and partnerships</w:t>
      </w:r>
      <w:r>
        <w:t xml:space="preserve"> com</w:t>
      </w:r>
      <w:r w:rsidR="002357F0">
        <w:t>prise</w:t>
      </w:r>
      <w:r>
        <w:t xml:space="preserve"> the next topic</w:t>
      </w:r>
      <w:r w:rsidR="002357F0">
        <w:t>s</w:t>
      </w:r>
      <w:r>
        <w:t xml:space="preserve"> in the article </w:t>
      </w:r>
      <w:r w:rsidRPr="00B24A85">
        <w:t>(Caswell et al., 2008)</w:t>
      </w:r>
      <w:r>
        <w:t xml:space="preserve">. A key enabler of OER, creative commons allows </w:t>
      </w:r>
      <w:r w:rsidR="00B87213">
        <w:t>educators</w:t>
      </w:r>
      <w:r>
        <w:t xml:space="preserve"> t</w:t>
      </w:r>
      <w:r w:rsidR="00CC325E">
        <w:t xml:space="preserve">o leverage the work of others </w:t>
      </w:r>
      <w:r w:rsidR="0062524D">
        <w:t>as part of</w:t>
      </w:r>
      <w:r w:rsidR="00CC325E">
        <w:t xml:space="preserve"> </w:t>
      </w:r>
      <w:r>
        <w:t>course creation</w:t>
      </w:r>
      <w:r w:rsidR="00A95E18">
        <w:t xml:space="preserve"> as well as protect faculty work</w:t>
      </w:r>
      <w:r>
        <w:t xml:space="preserve"> </w:t>
      </w:r>
      <w:r w:rsidRPr="00B24A85">
        <w:t>(Caswell et al., 2008)</w:t>
      </w:r>
      <w:r>
        <w:t xml:space="preserve">. </w:t>
      </w:r>
      <w:r w:rsidR="001B6E6A">
        <w:t>Also, the article</w:t>
      </w:r>
      <w:r w:rsidR="000E1926">
        <w:t xml:space="preserve"> </w:t>
      </w:r>
      <w:r w:rsidR="001B6E6A">
        <w:t>examines support for other institutions who would like to partner with MIT.</w:t>
      </w:r>
    </w:p>
    <w:p w:rsidR="00EB650B" w:rsidRDefault="0068630C" w:rsidP="002357F0">
      <w:pPr>
        <w:spacing w:line="480" w:lineRule="auto"/>
        <w:ind w:firstLine="720"/>
      </w:pPr>
      <w:r>
        <w:t xml:space="preserve">The benefits and challenges of OER are </w:t>
      </w:r>
      <w:r w:rsidR="001B6E6A">
        <w:t>explained</w:t>
      </w:r>
      <w:r>
        <w:t xml:space="preserve">. </w:t>
      </w:r>
      <w:r w:rsidR="002357F0">
        <w:t xml:space="preserve">OER </w:t>
      </w:r>
      <w:r w:rsidR="002357F0" w:rsidRPr="002357F0">
        <w:t>deliver</w:t>
      </w:r>
      <w:r w:rsidR="002357F0">
        <w:t>s</w:t>
      </w:r>
      <w:r w:rsidR="002357F0" w:rsidRPr="002357F0">
        <w:t xml:space="preserve"> high quality instructional content to an unlimited number of learners at virtually no additional cost beyond </w:t>
      </w:r>
      <w:r w:rsidR="002357F0">
        <w:t xml:space="preserve">the original cost of production </w:t>
      </w:r>
      <w:r w:rsidR="002357F0" w:rsidRPr="00B24A85">
        <w:t>(Caswell et al., 2008)</w:t>
      </w:r>
      <w:r w:rsidR="002357F0">
        <w:t xml:space="preserve">. However, financial support of OER initiatives remains a major challenge </w:t>
      </w:r>
      <w:r w:rsidR="002357F0" w:rsidRPr="00B24A85">
        <w:t>(Caswell et al., 2008)</w:t>
      </w:r>
      <w:r w:rsidR="002357F0">
        <w:t>.</w:t>
      </w:r>
    </w:p>
    <w:p w:rsidR="00EB32B6" w:rsidRPr="00B24A85" w:rsidRDefault="0068630C" w:rsidP="00EB32B6">
      <w:pPr>
        <w:spacing w:line="480" w:lineRule="auto"/>
        <w:ind w:firstLine="720"/>
      </w:pPr>
      <w:r>
        <w:t xml:space="preserve">Finally, the challenges of sustaining OER distance education projects are </w:t>
      </w:r>
      <w:r w:rsidR="001B6E6A">
        <w:t>reviewed</w:t>
      </w:r>
      <w:r>
        <w:t>.</w:t>
      </w:r>
      <w:r w:rsidR="002357F0">
        <w:t xml:space="preserve"> Private grants are an important source of funding OER project </w:t>
      </w:r>
      <w:r w:rsidR="002357F0" w:rsidRPr="00B24A85">
        <w:t>(Caswell et al., 2008)</w:t>
      </w:r>
      <w:r w:rsidR="002357F0">
        <w:t>. However, Caswell et al. (2008) suggest that</w:t>
      </w:r>
      <w:r w:rsidR="002357F0" w:rsidRPr="002357F0">
        <w:t xml:space="preserve"> a model where the community works together</w:t>
      </w:r>
      <w:r w:rsidR="002357F0">
        <w:t xml:space="preserve"> may provide a more realistic model for future support and funding </w:t>
      </w:r>
      <w:r w:rsidR="002357F0" w:rsidRPr="00B24A85">
        <w:t>(Caswell et al., 2008)</w:t>
      </w:r>
      <w:r w:rsidR="002357F0">
        <w:t>.</w:t>
      </w:r>
    </w:p>
    <w:p w:rsidR="0063192B" w:rsidRDefault="00BF44D5" w:rsidP="006A3BA9">
      <w:pPr>
        <w:spacing w:line="480" w:lineRule="auto"/>
        <w:jc w:val="center"/>
        <w:rPr>
          <w:b/>
        </w:rPr>
      </w:pPr>
      <w:r>
        <w:rPr>
          <w:b/>
        </w:rPr>
        <w:t>Intellectual Property Dimensions</w:t>
      </w:r>
    </w:p>
    <w:p w:rsidR="00A95E18" w:rsidRDefault="00A95E18" w:rsidP="00A95E18">
      <w:pPr>
        <w:spacing w:line="480" w:lineRule="auto"/>
        <w:ind w:firstLine="720"/>
      </w:pPr>
      <w:r>
        <w:t xml:space="preserve">The first </w:t>
      </w:r>
      <w:r w:rsidR="0067484E">
        <w:t xml:space="preserve">intellectual property </w:t>
      </w:r>
      <w:r>
        <w:t>dimension</w:t>
      </w:r>
      <w:r w:rsidR="0067484E">
        <w:t xml:space="preserve"> discussed</w:t>
      </w:r>
      <w:r>
        <w:t xml:space="preserve"> surrounds the protection of intellectual property</w:t>
      </w:r>
      <w:r w:rsidR="0067484E">
        <w:t xml:space="preserve"> </w:t>
      </w:r>
      <w:r w:rsidR="0067484E" w:rsidRPr="00B24A85">
        <w:t>(Caswell et al., 2008)</w:t>
      </w:r>
      <w:r>
        <w:t>. Creative commons allows for the distribution and reuse of educational</w:t>
      </w:r>
      <w:r w:rsidR="009F6F78">
        <w:t xml:space="preserve"> material </w:t>
      </w:r>
      <w:r w:rsidRPr="00B24A85">
        <w:t>(Caswell et al., 2008)</w:t>
      </w:r>
      <w:r>
        <w:t>.</w:t>
      </w:r>
      <w:r w:rsidR="009F6F78">
        <w:t xml:space="preserve"> Parry (2010) and </w:t>
      </w:r>
      <w:r w:rsidR="009F6F78" w:rsidRPr="009F6F78">
        <w:t>Association of College and Research Libraries (2013</w:t>
      </w:r>
      <w:r w:rsidR="009F6F78">
        <w:t>)</w:t>
      </w:r>
      <w:r w:rsidR="000E1926">
        <w:t xml:space="preserve"> </w:t>
      </w:r>
      <w:r w:rsidR="0067484E">
        <w:t>examine the important role that</w:t>
      </w:r>
      <w:r w:rsidR="009F6F78">
        <w:t xml:space="preserve"> creative commons</w:t>
      </w:r>
      <w:r w:rsidR="0067484E">
        <w:t xml:space="preserve"> contributes in</w:t>
      </w:r>
      <w:r w:rsidR="009F6F78">
        <w:t xml:space="preserve"> protecting the intellectual property</w:t>
      </w:r>
      <w:r w:rsidR="0055198B">
        <w:t xml:space="preserve"> of authors who desire to openly release work.</w:t>
      </w:r>
    </w:p>
    <w:p w:rsidR="0055198B" w:rsidRDefault="0055198B" w:rsidP="00A95E18">
      <w:pPr>
        <w:spacing w:line="480" w:lineRule="auto"/>
        <w:ind w:firstLine="720"/>
      </w:pPr>
      <w:r>
        <w:lastRenderedPageBreak/>
        <w:t xml:space="preserve">The sustainability of maintaining open educational resources </w:t>
      </w:r>
      <w:r w:rsidR="0067484E">
        <w:t xml:space="preserve">constitutes the second intellectual property dimension in the article </w:t>
      </w:r>
      <w:r w:rsidR="0067484E" w:rsidRPr="00B24A85">
        <w:t>(Caswell et al., 2008)</w:t>
      </w:r>
      <w:r w:rsidR="0067484E">
        <w:t>.</w:t>
      </w:r>
      <w:r w:rsidR="008B5980">
        <w:t xml:space="preserve"> O</w:t>
      </w:r>
      <w:r w:rsidR="00DF2957">
        <w:t>ER project teams identified o</w:t>
      </w:r>
      <w:r w:rsidR="008B5980">
        <w:t xml:space="preserve">nline artifact preservation as a challenge from the first OER project </w:t>
      </w:r>
      <w:r w:rsidR="008B5980" w:rsidRPr="00B24A85">
        <w:t>(Caswell et al., 2008)</w:t>
      </w:r>
      <w:r w:rsidR="008B5980">
        <w:t xml:space="preserve">. </w:t>
      </w:r>
      <w:r w:rsidR="00DF2957">
        <w:t xml:space="preserve">Traditionally, philanthropic grants fund these efforts (Caswell et al., 2008). </w:t>
      </w:r>
    </w:p>
    <w:p w:rsidR="002B16FA" w:rsidRDefault="00BF44D5" w:rsidP="00F767BA">
      <w:pPr>
        <w:spacing w:line="480" w:lineRule="auto"/>
        <w:jc w:val="center"/>
        <w:rPr>
          <w:b/>
        </w:rPr>
      </w:pPr>
      <w:r>
        <w:rPr>
          <w:b/>
        </w:rPr>
        <w:t>Challenges</w:t>
      </w:r>
    </w:p>
    <w:p w:rsidR="00DF2957" w:rsidRDefault="0055198B" w:rsidP="00DF2957">
      <w:pPr>
        <w:spacing w:line="480" w:lineRule="auto"/>
        <w:ind w:firstLine="720"/>
      </w:pPr>
      <w:r>
        <w:t xml:space="preserve">Overall, </w:t>
      </w:r>
      <w:r w:rsidR="00FC3509" w:rsidRPr="00FC3509">
        <w:t xml:space="preserve">Caswell et al. (2008) </w:t>
      </w:r>
      <w:r>
        <w:t xml:space="preserve">emphasize the benefits of OER and </w:t>
      </w:r>
      <w:r w:rsidR="00FC3509" w:rsidRPr="00FC3509">
        <w:t xml:space="preserve">minimize </w:t>
      </w:r>
      <w:r w:rsidR="00BD3F4C">
        <w:t>the challenge</w:t>
      </w:r>
      <w:r>
        <w:t>s</w:t>
      </w:r>
      <w:r w:rsidR="00BD3F4C">
        <w:t xml:space="preserve"> of </w:t>
      </w:r>
      <w:r>
        <w:t>OER championship</w:t>
      </w:r>
      <w:r w:rsidR="00FC3509" w:rsidRPr="00FC3509">
        <w:t xml:space="preserve">. Caswell et al. (2008) </w:t>
      </w:r>
      <w:r w:rsidR="00BD3F4C">
        <w:t>dispassionately gloss over very important challenge</w:t>
      </w:r>
      <w:r w:rsidR="0001533D">
        <w:t xml:space="preserve">s such as faculty championship as well as developing OER policies and standards. </w:t>
      </w:r>
      <w:r w:rsidR="00FC3509" w:rsidRPr="00FC3509">
        <w:t xml:space="preserve">However, the realities of faculty having the willingness and capacity </w:t>
      </w:r>
      <w:r w:rsidR="00BD3F4C">
        <w:t xml:space="preserve">to take on yet another project are not truly addressed </w:t>
      </w:r>
      <w:r w:rsidR="000E1926">
        <w:t>in</w:t>
      </w:r>
      <w:r w:rsidR="00BD3F4C">
        <w:t xml:space="preserve"> the article.</w:t>
      </w:r>
      <w:r w:rsidR="0001533D">
        <w:t xml:space="preserve"> Neither are similar organizational challenges of developing OER policies and standards truly addressed. </w:t>
      </w:r>
      <w:r w:rsidR="00AA7F3D">
        <w:t>Samp</w:t>
      </w:r>
      <w:r w:rsidR="0001533D">
        <w:t xml:space="preserve">les of the documents that other </w:t>
      </w:r>
      <w:r w:rsidR="00B87213">
        <w:t>partners</w:t>
      </w:r>
      <w:r w:rsidR="0001533D">
        <w:t xml:space="preserve"> may leverage</w:t>
      </w:r>
      <w:r w:rsidR="00AA7F3D">
        <w:t xml:space="preserve"> are provided</w:t>
      </w:r>
      <w:r w:rsidR="0001533D">
        <w:t xml:space="preserve"> (Caswell et al., 2008).  Again</w:t>
      </w:r>
      <w:r w:rsidR="001020B5">
        <w:t>,</w:t>
      </w:r>
      <w:r w:rsidR="0001533D">
        <w:t xml:space="preserve"> the so</w:t>
      </w:r>
      <w:r w:rsidR="00B87213">
        <w:t>cial and political realities</w:t>
      </w:r>
      <w:r w:rsidR="0001533D">
        <w:t xml:space="preserve"> willingness and capacity </w:t>
      </w:r>
      <w:r w:rsidR="00B87213">
        <w:t xml:space="preserve">of colleges and universities </w:t>
      </w:r>
      <w:r w:rsidR="000E1926">
        <w:t>are not addressed in</w:t>
      </w:r>
      <w:r w:rsidR="0001533D">
        <w:t xml:space="preserve"> the article.</w:t>
      </w:r>
      <w:r w:rsidR="001020B5">
        <w:t xml:space="preserve"> Instead, Caswell et al. (2008) </w:t>
      </w:r>
      <w:r w:rsidR="000E1926">
        <w:t>make the adoption process of</w:t>
      </w:r>
      <w:r w:rsidR="001020B5">
        <w:t xml:space="preserve"> </w:t>
      </w:r>
      <w:r w:rsidR="000E1926">
        <w:t>partner institution</w:t>
      </w:r>
      <w:r w:rsidR="001020B5">
        <w:t xml:space="preserve"> seem simplistic and inevitable.</w:t>
      </w:r>
    </w:p>
    <w:p w:rsidR="00FF7DFC" w:rsidRDefault="002B1559" w:rsidP="00DF2957">
      <w:pPr>
        <w:spacing w:line="480" w:lineRule="auto"/>
        <w:ind w:firstLine="720"/>
      </w:pPr>
      <w:r>
        <w:t xml:space="preserve">Caswell et al. (2008) touch on the challenge of sustaining OER artifacts. </w:t>
      </w:r>
      <w:r w:rsidR="00FD39C9">
        <w:t xml:space="preserve">However, the </w:t>
      </w:r>
      <w:r w:rsidR="0062524D">
        <w:t xml:space="preserve">idealistic </w:t>
      </w:r>
      <w:r w:rsidR="00FD39C9">
        <w:t xml:space="preserve">tone of the discussion </w:t>
      </w:r>
      <w:r w:rsidR="0062524D">
        <w:t>and has</w:t>
      </w:r>
      <w:r w:rsidR="00FD39C9">
        <w:t xml:space="preserve"> no depth</w:t>
      </w:r>
      <w:r w:rsidR="007767CE">
        <w:t xml:space="preserve"> to the solutions posited</w:t>
      </w:r>
      <w:r w:rsidR="00FD39C9">
        <w:t xml:space="preserve">. </w:t>
      </w:r>
      <w:r w:rsidR="005B65D5">
        <w:rPr>
          <w:color w:val="000000"/>
        </w:rPr>
        <w:t>Lynch (</w:t>
      </w:r>
      <w:r w:rsidR="005B65D5" w:rsidRPr="005B65D5">
        <w:rPr>
          <w:color w:val="000000"/>
        </w:rPr>
        <w:t>2009</w:t>
      </w:r>
      <w:r w:rsidR="005B65D5">
        <w:rPr>
          <w:color w:val="000000"/>
        </w:rPr>
        <w:t>)</w:t>
      </w:r>
      <w:r>
        <w:rPr>
          <w:color w:val="000000"/>
        </w:rPr>
        <w:t xml:space="preserve"> </w:t>
      </w:r>
      <w:r w:rsidR="00AA7F3D">
        <w:rPr>
          <w:color w:val="000000"/>
        </w:rPr>
        <w:t>explores</w:t>
      </w:r>
      <w:r w:rsidR="00FD39C9">
        <w:rPr>
          <w:color w:val="000000"/>
        </w:rPr>
        <w:t xml:space="preserve"> sustainability </w:t>
      </w:r>
      <w:r w:rsidR="00AA7F3D">
        <w:rPr>
          <w:color w:val="000000"/>
        </w:rPr>
        <w:t>in more detail and furnishes</w:t>
      </w:r>
      <w:r w:rsidR="00FD39C9">
        <w:rPr>
          <w:color w:val="000000"/>
        </w:rPr>
        <w:t xml:space="preserve"> realistic existing solutions.</w:t>
      </w:r>
    </w:p>
    <w:p w:rsidR="00211434" w:rsidRDefault="00BF44D5" w:rsidP="00211434">
      <w:pPr>
        <w:spacing w:line="480" w:lineRule="auto"/>
        <w:jc w:val="center"/>
        <w:rPr>
          <w:b/>
        </w:rPr>
      </w:pPr>
      <w:r>
        <w:rPr>
          <w:b/>
        </w:rPr>
        <w:t>Conclusions</w:t>
      </w:r>
    </w:p>
    <w:p w:rsidR="000774D3" w:rsidRDefault="00FF7DFC" w:rsidP="00211434">
      <w:pPr>
        <w:spacing w:line="480" w:lineRule="auto"/>
        <w:ind w:firstLine="720"/>
        <w:rPr>
          <w:b/>
        </w:rPr>
      </w:pPr>
      <w:r>
        <w:t xml:space="preserve">The Caswell et al. (2008) article primarily focuses on benefits and promise of OER. </w:t>
      </w:r>
      <w:r w:rsidR="00211434">
        <w:t xml:space="preserve">The </w:t>
      </w:r>
      <w:r w:rsidR="000E37B3">
        <w:t>Caswell et al. (</w:t>
      </w:r>
      <w:r w:rsidRPr="00B24A85">
        <w:t>2008)</w:t>
      </w:r>
      <w:r w:rsidR="00211434">
        <w:t xml:space="preserve"> treatment appears to minimize, sometimes even trivialize the challenges of </w:t>
      </w:r>
      <w:r w:rsidR="00211434">
        <w:lastRenderedPageBreak/>
        <w:t>OER</w:t>
      </w:r>
      <w:r w:rsidR="007767CE">
        <w:t>. The student author</w:t>
      </w:r>
      <w:r w:rsidR="006F7BB5">
        <w:t xml:space="preserve"> feels that Caswell et al. (2008) do not give sufficient weight to those topics that form significant challenges to the success of OER projects.</w:t>
      </w:r>
      <w:r w:rsidR="000774D3">
        <w:rPr>
          <w:b/>
        </w:rPr>
        <w:br w:type="page"/>
      </w:r>
    </w:p>
    <w:p w:rsidR="00FA009B" w:rsidRDefault="00FA009B">
      <w:pPr>
        <w:rPr>
          <w:b/>
        </w:rPr>
      </w:pPr>
    </w:p>
    <w:p w:rsidR="00642A38" w:rsidRDefault="00642A38" w:rsidP="00642A38">
      <w:pPr>
        <w:spacing w:line="480" w:lineRule="auto"/>
        <w:jc w:val="center"/>
      </w:pPr>
      <w:r w:rsidRPr="00642A38">
        <w:t>References</w:t>
      </w:r>
    </w:p>
    <w:p w:rsidR="009F6F78" w:rsidRDefault="009F6F78" w:rsidP="00642A38">
      <w:pPr>
        <w:spacing w:line="480" w:lineRule="auto"/>
        <w:ind w:left="720" w:hanging="720"/>
      </w:pPr>
      <w:proofErr w:type="gramStart"/>
      <w:r w:rsidRPr="009F6F78">
        <w:t>Association of College and Research Libraries.</w:t>
      </w:r>
      <w:proofErr w:type="gramEnd"/>
      <w:r w:rsidRPr="009F6F78">
        <w:t xml:space="preserve"> </w:t>
      </w:r>
      <w:proofErr w:type="gramStart"/>
      <w:r w:rsidRPr="009F6F78">
        <w:t>Working Group on Intersections of Scholarly Communication and Information Literacy.</w:t>
      </w:r>
      <w:proofErr w:type="gramEnd"/>
      <w:r w:rsidRPr="009F6F78">
        <w:t xml:space="preserve"> (2013). Intersections of scholarly communication and information literacy: Creating strategic collaborations for a changing academic environment. Available at http://acrl.ala.org/intersections</w:t>
      </w:r>
    </w:p>
    <w:p w:rsidR="00192041" w:rsidRDefault="00093F6D" w:rsidP="00642A38">
      <w:pPr>
        <w:spacing w:line="480" w:lineRule="auto"/>
        <w:ind w:left="720" w:hanging="720"/>
      </w:pPr>
      <w:r w:rsidRPr="003F2206">
        <w:t xml:space="preserve">Caswell, T., Henson, S., Jensen, M., &amp; Wiley, D. (2008). Open Educational Resources: Enabling Universal Education. </w:t>
      </w:r>
      <w:r w:rsidRPr="003F2206">
        <w:rPr>
          <w:i/>
          <w:iCs/>
        </w:rPr>
        <w:t>Online Submission</w:t>
      </w:r>
      <w:r w:rsidR="00470CD3" w:rsidRPr="003F2206">
        <w:rPr>
          <w:i/>
          <w:iCs/>
        </w:rPr>
        <w:t xml:space="preserve"> International Review of Research in Open and Distance Learning</w:t>
      </w:r>
      <w:r w:rsidRPr="003F2206">
        <w:rPr>
          <w:i/>
        </w:rPr>
        <w:t>, 9</w:t>
      </w:r>
      <w:r w:rsidRPr="003F2206">
        <w:t xml:space="preserve">(1), </w:t>
      </w:r>
      <w:r w:rsidR="00520F9A" w:rsidRPr="003F2206">
        <w:t xml:space="preserve">1-11, </w:t>
      </w:r>
      <w:proofErr w:type="gramStart"/>
      <w:r w:rsidRPr="003F2206">
        <w:t>Retrieved</w:t>
      </w:r>
      <w:proofErr w:type="gramEnd"/>
      <w:r w:rsidRPr="003F2206">
        <w:t xml:space="preserve"> from</w:t>
      </w:r>
      <w:r w:rsidR="00470CD3" w:rsidRPr="003F2206">
        <w:t xml:space="preserve"> </w:t>
      </w:r>
      <w:r w:rsidR="00363057" w:rsidRPr="003F2206">
        <w:t>http://www.irrodl.org/index.php/irrodl/index</w:t>
      </w:r>
      <w:r w:rsidR="00470CD3" w:rsidRPr="003F2206">
        <w:t xml:space="preserve"> </w:t>
      </w:r>
    </w:p>
    <w:p w:rsidR="005B65D5" w:rsidRPr="005B65D5" w:rsidRDefault="005B65D5" w:rsidP="00642A38">
      <w:pPr>
        <w:spacing w:line="480" w:lineRule="auto"/>
        <w:ind w:left="720" w:hanging="720"/>
      </w:pPr>
      <w:r w:rsidRPr="005B65D5">
        <w:rPr>
          <w:color w:val="000000"/>
        </w:rPr>
        <w:t>Lynch, C. (2009). </w:t>
      </w:r>
      <w:proofErr w:type="gramStart"/>
      <w:r w:rsidRPr="005B65D5">
        <w:rPr>
          <w:color w:val="000000"/>
        </w:rPr>
        <w:t>The changing of scholarly communication in the digital age, Part 7, February 11-13, 2009.</w:t>
      </w:r>
      <w:proofErr w:type="gramEnd"/>
      <w:r w:rsidRPr="005B65D5">
        <w:rPr>
          <w:color w:val="000000"/>
        </w:rPr>
        <w:t xml:space="preserve"> Video posted at </w:t>
      </w:r>
      <w:r w:rsidRPr="005B65D5">
        <w:t>https://mediamatrix.tamu.edu/download_published_file.php?published_file_id=224135&amp;title=The_Changing_of_Scholarly_Communication_in_the_Digital_Age%2C_Part_7</w:t>
      </w:r>
    </w:p>
    <w:p w:rsidR="009F6F78" w:rsidRDefault="009F6F78" w:rsidP="00192041">
      <w:pPr>
        <w:spacing w:line="480" w:lineRule="auto"/>
        <w:ind w:left="720" w:hanging="720"/>
      </w:pPr>
      <w:r w:rsidRPr="009F6F78">
        <w:t xml:space="preserve">Parry, D. (2010). Burn the boats/books. In Cohen, D. J., &amp; </w:t>
      </w:r>
      <w:proofErr w:type="spellStart"/>
      <w:r w:rsidRPr="009F6F78">
        <w:t>Scheinfeldt</w:t>
      </w:r>
      <w:proofErr w:type="spellEnd"/>
      <w:r w:rsidRPr="009F6F78">
        <w:t>, T (Eds.), Hacking the academy: New approaches to scholarship and teaching from digital humanities. http://dx.doi.org/10.3998/dh.12172434.0001.001</w:t>
      </w:r>
    </w:p>
    <w:p w:rsidR="00FA009B" w:rsidRPr="00642A38" w:rsidRDefault="00192041" w:rsidP="00192041">
      <w:pPr>
        <w:spacing w:line="480" w:lineRule="auto"/>
        <w:ind w:left="720" w:hanging="720"/>
      </w:pPr>
      <w:r w:rsidRPr="003F2206">
        <w:t xml:space="preserve">United Nations General Assembly (1948). </w:t>
      </w:r>
      <w:proofErr w:type="gramStart"/>
      <w:r w:rsidRPr="003F2206">
        <w:t>Universal Declaration of Human Rights.</w:t>
      </w:r>
      <w:proofErr w:type="gramEnd"/>
      <w:r w:rsidRPr="003F2206">
        <w:t xml:space="preserve"> Retrieved February 12, 2017 from: http://en.wikisource.org/wiki/Universal_Declaration_of_Human_Rights#Article_26</w:t>
      </w:r>
      <w:r>
        <w:rPr>
          <w:sz w:val="22"/>
          <w:szCs w:val="22"/>
        </w:rPr>
        <w:t xml:space="preserve"> </w:t>
      </w:r>
    </w:p>
    <w:sectPr w:rsidR="00FA009B" w:rsidRPr="00642A38" w:rsidSect="00921778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778" w:rsidRDefault="00921778" w:rsidP="00921778">
      <w:pPr>
        <w:spacing w:after="0" w:line="240" w:lineRule="auto"/>
      </w:pPr>
      <w:r>
        <w:separator/>
      </w:r>
    </w:p>
  </w:endnote>
  <w:endnote w:type="continuationSeparator" w:id="0">
    <w:p w:rsidR="00921778" w:rsidRDefault="00921778" w:rsidP="0092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778" w:rsidRDefault="00921778" w:rsidP="00921778">
      <w:pPr>
        <w:spacing w:after="0" w:line="240" w:lineRule="auto"/>
      </w:pPr>
      <w:r>
        <w:separator/>
      </w:r>
    </w:p>
  </w:footnote>
  <w:footnote w:type="continuationSeparator" w:id="0">
    <w:p w:rsidR="00921778" w:rsidRDefault="00921778" w:rsidP="0092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78" w:rsidRDefault="00F767BA">
    <w:pPr>
      <w:pStyle w:val="Header"/>
    </w:pPr>
    <w:r>
      <w:t>COPYRIGHT ARTICLE REVIEW PROJECT</w:t>
    </w:r>
    <w:r w:rsidR="006A3BA9">
      <w:tab/>
    </w:r>
    <w:r w:rsidR="006A3BA9">
      <w:tab/>
    </w:r>
    <w:r w:rsidR="006A3BA9">
      <w:fldChar w:fldCharType="begin"/>
    </w:r>
    <w:r w:rsidR="006A3BA9">
      <w:instrText xml:space="preserve"> PAGE   \* MERGEFORMAT </w:instrText>
    </w:r>
    <w:r w:rsidR="006A3BA9">
      <w:fldChar w:fldCharType="separate"/>
    </w:r>
    <w:r w:rsidR="00543999">
      <w:rPr>
        <w:noProof/>
      </w:rPr>
      <w:t>3</w:t>
    </w:r>
    <w:r w:rsidR="006A3BA9">
      <w:rPr>
        <w:noProof/>
      </w:rPr>
      <w:fldChar w:fldCharType="end"/>
    </w:r>
  </w:p>
  <w:p w:rsidR="00921778" w:rsidRDefault="009217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78" w:rsidRDefault="00E345BA">
    <w:pPr>
      <w:pStyle w:val="Header"/>
    </w:pPr>
    <w:r>
      <w:tab/>
    </w:r>
    <w:r w:rsidR="0092177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65CED"/>
    <w:multiLevelType w:val="hybridMultilevel"/>
    <w:tmpl w:val="3A60DE88"/>
    <w:lvl w:ilvl="0" w:tplc="FE42A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51B83"/>
    <w:multiLevelType w:val="multilevel"/>
    <w:tmpl w:val="661A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E279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54"/>
    <w:rsid w:val="0000041E"/>
    <w:rsid w:val="000006BD"/>
    <w:rsid w:val="0001533D"/>
    <w:rsid w:val="000338BF"/>
    <w:rsid w:val="00056682"/>
    <w:rsid w:val="00061602"/>
    <w:rsid w:val="000774D3"/>
    <w:rsid w:val="000865A4"/>
    <w:rsid w:val="00093F6D"/>
    <w:rsid w:val="000D04DC"/>
    <w:rsid w:val="000E1926"/>
    <w:rsid w:val="000E37B3"/>
    <w:rsid w:val="000F1194"/>
    <w:rsid w:val="001020B5"/>
    <w:rsid w:val="00103A6C"/>
    <w:rsid w:val="00104C02"/>
    <w:rsid w:val="0014141D"/>
    <w:rsid w:val="00192041"/>
    <w:rsid w:val="001931D7"/>
    <w:rsid w:val="001B034B"/>
    <w:rsid w:val="001B45C2"/>
    <w:rsid w:val="001B6E6A"/>
    <w:rsid w:val="00211434"/>
    <w:rsid w:val="00214CC8"/>
    <w:rsid w:val="002357F0"/>
    <w:rsid w:val="002428AF"/>
    <w:rsid w:val="002671A7"/>
    <w:rsid w:val="002B1559"/>
    <w:rsid w:val="002B16FA"/>
    <w:rsid w:val="002C770A"/>
    <w:rsid w:val="002E5038"/>
    <w:rsid w:val="00345220"/>
    <w:rsid w:val="00352C61"/>
    <w:rsid w:val="00363057"/>
    <w:rsid w:val="00382B06"/>
    <w:rsid w:val="003901DA"/>
    <w:rsid w:val="003A3521"/>
    <w:rsid w:val="003B45C7"/>
    <w:rsid w:val="003D08A1"/>
    <w:rsid w:val="003F2206"/>
    <w:rsid w:val="004239F2"/>
    <w:rsid w:val="00470CD3"/>
    <w:rsid w:val="00477D67"/>
    <w:rsid w:val="004A4B02"/>
    <w:rsid w:val="004F7FF6"/>
    <w:rsid w:val="00503BBF"/>
    <w:rsid w:val="00520F9A"/>
    <w:rsid w:val="00543999"/>
    <w:rsid w:val="0055198B"/>
    <w:rsid w:val="005667ED"/>
    <w:rsid w:val="005B65D5"/>
    <w:rsid w:val="0062287D"/>
    <w:rsid w:val="0062524D"/>
    <w:rsid w:val="0063192B"/>
    <w:rsid w:val="00633EFC"/>
    <w:rsid w:val="00642A38"/>
    <w:rsid w:val="00660192"/>
    <w:rsid w:val="00671ADF"/>
    <w:rsid w:val="0067484E"/>
    <w:rsid w:val="0068630C"/>
    <w:rsid w:val="00695209"/>
    <w:rsid w:val="006A3BA9"/>
    <w:rsid w:val="006D3F95"/>
    <w:rsid w:val="006F7BB5"/>
    <w:rsid w:val="00711379"/>
    <w:rsid w:val="007767CE"/>
    <w:rsid w:val="007A67C2"/>
    <w:rsid w:val="007B1BBE"/>
    <w:rsid w:val="00811D18"/>
    <w:rsid w:val="00815E13"/>
    <w:rsid w:val="00882D6D"/>
    <w:rsid w:val="0088719A"/>
    <w:rsid w:val="008B5980"/>
    <w:rsid w:val="0090183D"/>
    <w:rsid w:val="00921778"/>
    <w:rsid w:val="00982172"/>
    <w:rsid w:val="009B2AC1"/>
    <w:rsid w:val="009E60E1"/>
    <w:rsid w:val="009F6F78"/>
    <w:rsid w:val="00A23A0E"/>
    <w:rsid w:val="00A460FC"/>
    <w:rsid w:val="00A60AF4"/>
    <w:rsid w:val="00A647DD"/>
    <w:rsid w:val="00A853D3"/>
    <w:rsid w:val="00A95E18"/>
    <w:rsid w:val="00AA52FC"/>
    <w:rsid w:val="00AA7F3D"/>
    <w:rsid w:val="00B010F7"/>
    <w:rsid w:val="00B24A85"/>
    <w:rsid w:val="00B36DE9"/>
    <w:rsid w:val="00B56623"/>
    <w:rsid w:val="00B87213"/>
    <w:rsid w:val="00BD3F4C"/>
    <w:rsid w:val="00BE3745"/>
    <w:rsid w:val="00BF44D5"/>
    <w:rsid w:val="00C6536B"/>
    <w:rsid w:val="00C87E84"/>
    <w:rsid w:val="00C9588B"/>
    <w:rsid w:val="00CC325E"/>
    <w:rsid w:val="00CE058A"/>
    <w:rsid w:val="00CF3684"/>
    <w:rsid w:val="00D04D62"/>
    <w:rsid w:val="00D474B4"/>
    <w:rsid w:val="00D73630"/>
    <w:rsid w:val="00D85503"/>
    <w:rsid w:val="00DF2957"/>
    <w:rsid w:val="00DF2C5B"/>
    <w:rsid w:val="00E33854"/>
    <w:rsid w:val="00E345BA"/>
    <w:rsid w:val="00E47738"/>
    <w:rsid w:val="00E5435F"/>
    <w:rsid w:val="00EB32B6"/>
    <w:rsid w:val="00EB650B"/>
    <w:rsid w:val="00EC1EC6"/>
    <w:rsid w:val="00F15E29"/>
    <w:rsid w:val="00F767BA"/>
    <w:rsid w:val="00FA009B"/>
    <w:rsid w:val="00FC3509"/>
    <w:rsid w:val="00FD39C9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55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778"/>
  </w:style>
  <w:style w:type="paragraph" w:styleId="Footer">
    <w:name w:val="footer"/>
    <w:basedOn w:val="Normal"/>
    <w:link w:val="FooterChar"/>
    <w:uiPriority w:val="99"/>
    <w:unhideWhenUsed/>
    <w:rsid w:val="0092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778"/>
  </w:style>
  <w:style w:type="paragraph" w:styleId="ListParagraph">
    <w:name w:val="List Paragraph"/>
    <w:basedOn w:val="Normal"/>
    <w:uiPriority w:val="34"/>
    <w:qFormat/>
    <w:rsid w:val="0034522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4522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77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55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778"/>
  </w:style>
  <w:style w:type="paragraph" w:styleId="Footer">
    <w:name w:val="footer"/>
    <w:basedOn w:val="Normal"/>
    <w:link w:val="FooterChar"/>
    <w:uiPriority w:val="99"/>
    <w:unhideWhenUsed/>
    <w:rsid w:val="0092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778"/>
  </w:style>
  <w:style w:type="paragraph" w:styleId="ListParagraph">
    <w:name w:val="List Paragraph"/>
    <w:basedOn w:val="Normal"/>
    <w:uiPriority w:val="34"/>
    <w:qFormat/>
    <w:rsid w:val="0034522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4522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77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9C01F-4D15-44F5-A673-F35992C54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5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Merck &amp; Co., Inc.</dc:creator>
  <cp:lastModifiedBy>Home</cp:lastModifiedBy>
  <cp:revision>24</cp:revision>
  <cp:lastPrinted>2016-11-07T04:05:00Z</cp:lastPrinted>
  <dcterms:created xsi:type="dcterms:W3CDTF">2017-02-12T17:46:00Z</dcterms:created>
  <dcterms:modified xsi:type="dcterms:W3CDTF">2017-02-13T04:11:00Z</dcterms:modified>
</cp:coreProperties>
</file>