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21778" w:rsidRDefault="00A23A0E">
      <w:pPr>
        <w:rPr>
          <w:b/>
        </w:rPr>
      </w:pPr>
      <w:r>
        <w:rPr>
          <w:b/>
        </w:rPr>
        <w:t>Joanne Deitsch</w:t>
      </w:r>
      <w:r>
        <w:rPr>
          <w:b/>
        </w:rPr>
        <w:br/>
      </w:r>
      <w:r w:rsidR="0090183D" w:rsidRPr="0090183D">
        <w:rPr>
          <w:b/>
        </w:rPr>
        <w:t>DETC 620</w:t>
      </w:r>
      <w:r w:rsidR="0090183D">
        <w:rPr>
          <w:b/>
        </w:rPr>
        <w:t xml:space="preserve"> </w:t>
      </w:r>
      <w:r w:rsidR="003A3521" w:rsidRPr="00921778">
        <w:rPr>
          <w:b/>
        </w:rPr>
        <w:t>Section 9</w:t>
      </w:r>
      <w:r>
        <w:rPr>
          <w:b/>
        </w:rPr>
        <w:t>040</w:t>
      </w:r>
      <w:r w:rsidR="003A3521" w:rsidRPr="00921778">
        <w:rPr>
          <w:b/>
        </w:rPr>
        <w:br/>
      </w:r>
      <w:r w:rsidR="00B14BB5">
        <w:rPr>
          <w:b/>
        </w:rPr>
        <w:t>27</w:t>
      </w:r>
      <w:r w:rsidR="003A3521" w:rsidRPr="00921778">
        <w:rPr>
          <w:b/>
        </w:rPr>
        <w:t>-</w:t>
      </w:r>
      <w:r w:rsidR="0063192B">
        <w:rPr>
          <w:b/>
        </w:rPr>
        <w:t>November-2016</w:t>
      </w:r>
      <w:r w:rsidR="003A3521" w:rsidRPr="00921778">
        <w:rPr>
          <w:b/>
        </w:rPr>
        <w:br/>
      </w:r>
    </w:p>
    <w:p w:rsidR="00921778" w:rsidRDefault="00921778"/>
    <w:p w:rsidR="006A3BA9" w:rsidRDefault="00B14BB5" w:rsidP="0014141D">
      <w:pPr>
        <w:spacing w:line="480" w:lineRule="auto"/>
        <w:jc w:val="center"/>
      </w:pPr>
      <w:r>
        <w:t>Proposal</w:t>
      </w:r>
      <w:r w:rsidR="009A7F8D">
        <w:t xml:space="preserve"> for Agg</w:t>
      </w:r>
      <w:r w:rsidR="007644F2">
        <w:t xml:space="preserve">regateSpend360 eLearning </w:t>
      </w:r>
      <w:r w:rsidR="009A7F8D">
        <w:t>Replacement</w:t>
      </w:r>
    </w:p>
    <w:p w:rsidR="00C9588B" w:rsidRDefault="00B14BB5" w:rsidP="0014141D">
      <w:pPr>
        <w:spacing w:line="480" w:lineRule="auto"/>
        <w:jc w:val="center"/>
        <w:rPr>
          <w:b/>
        </w:rPr>
      </w:pPr>
      <w:r>
        <w:rPr>
          <w:b/>
        </w:rPr>
        <w:t>Introduction</w:t>
      </w:r>
    </w:p>
    <w:p w:rsidR="0042025F" w:rsidRDefault="0042025F" w:rsidP="0042025F">
      <w:pPr>
        <w:spacing w:line="480" w:lineRule="auto"/>
        <w:ind w:firstLine="720"/>
      </w:pPr>
      <w:proofErr w:type="spellStart"/>
      <w:r>
        <w:t>QuintilesIMS’s</w:t>
      </w:r>
      <w:proofErr w:type="spellEnd"/>
      <w:r>
        <w:t xml:space="preserve"> </w:t>
      </w:r>
      <w:r w:rsidR="00902B19">
        <w:t xml:space="preserve">(QI) </w:t>
      </w:r>
      <w:r>
        <w:t xml:space="preserve">AggregateSpend360 </w:t>
      </w:r>
      <w:r w:rsidR="00016C66">
        <w:t xml:space="preserve">(AGS) </w:t>
      </w:r>
      <w:r>
        <w:t xml:space="preserve">software provides a solution to help </w:t>
      </w:r>
      <w:r w:rsidR="00016C66">
        <w:t>group purchasing organizations (GPO) such as pharmaceutical and health care manufacturers to comply with</w:t>
      </w:r>
      <w:r w:rsidRPr="0042025F">
        <w:t xml:space="preserve"> local and national mandates </w:t>
      </w:r>
      <w:r w:rsidR="00016C66">
        <w:t>regarding</w:t>
      </w:r>
      <w:r w:rsidRPr="0042025F">
        <w:t xml:space="preserve"> transparency. </w:t>
      </w:r>
      <w:r w:rsidR="00016C66">
        <w:t>AGS tracks transfers of value between GPOs and health care providers/organizations</w:t>
      </w:r>
      <w:r w:rsidR="00136DDE">
        <w:t xml:space="preserve"> </w:t>
      </w:r>
      <w:r w:rsidR="00016C66">
        <w:t xml:space="preserve">required </w:t>
      </w:r>
      <w:r w:rsidR="007523AF">
        <w:t>the United States Food &amp; Drug Administration (</w:t>
      </w:r>
      <w:r w:rsidR="007523AF" w:rsidRPr="0042025F">
        <w:t>FDA</w:t>
      </w:r>
      <w:r w:rsidR="007523AF">
        <w:t>)</w:t>
      </w:r>
      <w:r w:rsidR="007523AF" w:rsidRPr="0042025F">
        <w:t xml:space="preserve"> and </w:t>
      </w:r>
      <w:r w:rsidR="007523AF">
        <w:t>the European Federation of Pharmaceutical Industries and Associations (</w:t>
      </w:r>
      <w:r w:rsidR="007523AF" w:rsidRPr="0042025F">
        <w:t>EFPIA)</w:t>
      </w:r>
      <w:r w:rsidR="007523AF">
        <w:t xml:space="preserve"> </w:t>
      </w:r>
      <w:r w:rsidR="00016C66">
        <w:t>regulations</w:t>
      </w:r>
      <w:r w:rsidR="007523AF">
        <w:t xml:space="preserve">. </w:t>
      </w:r>
      <w:r w:rsidR="00136DDE">
        <w:t xml:space="preserve">AGS </w:t>
      </w:r>
      <w:r w:rsidR="00902B19">
        <w:t>give</w:t>
      </w:r>
      <w:r w:rsidR="00136DDE">
        <w:t xml:space="preserve">s GPOs the ability to comply with </w:t>
      </w:r>
      <w:r w:rsidR="007523AF">
        <w:t xml:space="preserve">these </w:t>
      </w:r>
      <w:r w:rsidR="00136DDE">
        <w:t>reporting requirements.</w:t>
      </w:r>
    </w:p>
    <w:p w:rsidR="00813147" w:rsidRPr="00813147" w:rsidRDefault="00954B33" w:rsidP="0042025F">
      <w:pPr>
        <w:spacing w:line="480" w:lineRule="auto"/>
        <w:ind w:firstLine="720"/>
      </w:pPr>
      <w:r w:rsidRPr="00813147">
        <w:t xml:space="preserve">This paper will discuss </w:t>
      </w:r>
      <w:r w:rsidR="00813147" w:rsidRPr="00813147">
        <w:t xml:space="preserve">a proposal to replace the current eLearning models. Topics </w:t>
      </w:r>
      <w:r w:rsidR="00813147">
        <w:t xml:space="preserve">related to this proposal </w:t>
      </w:r>
      <w:r w:rsidR="00813147" w:rsidRPr="00813147">
        <w:t>include:</w:t>
      </w:r>
    </w:p>
    <w:p w:rsidR="00813147" w:rsidRPr="00813147" w:rsidRDefault="00A44FE8" w:rsidP="0061422C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13147" w:rsidRPr="00813147">
        <w:rPr>
          <w:rFonts w:ascii="Times New Roman" w:hAnsi="Times New Roman" w:cs="Times New Roman"/>
          <w:sz w:val="24"/>
          <w:szCs w:val="24"/>
        </w:rPr>
        <w:t xml:space="preserve">nstructional design and project management </w:t>
      </w:r>
      <w:r w:rsidR="00813147">
        <w:rPr>
          <w:rFonts w:ascii="Times New Roman" w:hAnsi="Times New Roman" w:cs="Times New Roman"/>
          <w:sz w:val="24"/>
          <w:szCs w:val="24"/>
        </w:rPr>
        <w:t>models</w:t>
      </w:r>
    </w:p>
    <w:p w:rsidR="00B24F83" w:rsidRPr="00B24F83" w:rsidRDefault="00B24F83" w:rsidP="0061422C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group key c</w:t>
      </w:r>
      <w:r w:rsidRPr="00B24F83">
        <w:rPr>
          <w:rFonts w:ascii="Times New Roman" w:hAnsi="Times New Roman" w:cs="Times New Roman"/>
          <w:sz w:val="24"/>
          <w:szCs w:val="24"/>
        </w:rPr>
        <w:t>haracteristics</w:t>
      </w:r>
    </w:p>
    <w:p w:rsidR="00A44FE8" w:rsidRDefault="00A44FE8" w:rsidP="0061422C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Multimedia rationale</w:t>
      </w:r>
    </w:p>
    <w:p w:rsidR="00A44FE8" w:rsidRDefault="00A44FE8" w:rsidP="0061422C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Advantages and disadvantages of online learning solutions</w:t>
      </w:r>
    </w:p>
    <w:p w:rsidR="00A44FE8" w:rsidRDefault="00C570BD" w:rsidP="0061422C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</w:t>
      </w:r>
      <w:r w:rsidR="005F51D6">
        <w:rPr>
          <w:rFonts w:ascii="Times New Roman" w:eastAsia="Times New Roman" w:hAnsi="Times New Roman" w:cs="Times New Roman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sz w:val="24"/>
          <w:szCs w:val="24"/>
        </w:rPr>
        <w:t>riteria</w:t>
      </w:r>
    </w:p>
    <w:p w:rsidR="00C570BD" w:rsidRDefault="00F23325" w:rsidP="0061422C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Delivery</w:t>
      </w:r>
    </w:p>
    <w:p w:rsidR="00F23325" w:rsidRDefault="00F23325" w:rsidP="0061422C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Outline</w:t>
      </w:r>
    </w:p>
    <w:p w:rsidR="00F23325" w:rsidRDefault="00F23325" w:rsidP="0061422C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325">
        <w:rPr>
          <w:rFonts w:ascii="Times New Roman" w:eastAsia="Times New Roman" w:hAnsi="Times New Roman" w:cs="Times New Roman"/>
          <w:sz w:val="24"/>
          <w:szCs w:val="24"/>
        </w:rPr>
        <w:t>Project Team Roles and Responsibilities</w:t>
      </w:r>
    </w:p>
    <w:p w:rsidR="0061422C" w:rsidRDefault="00A22C68" w:rsidP="0061422C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Roll-Out Plan</w:t>
      </w:r>
    </w:p>
    <w:p w:rsidR="0061422C" w:rsidRDefault="0061422C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63192B" w:rsidRDefault="00B14BB5" w:rsidP="0014141D">
      <w:pPr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Instructional Design </w:t>
      </w:r>
      <w:r w:rsidR="00954B33">
        <w:rPr>
          <w:b/>
        </w:rPr>
        <w:t xml:space="preserve">and Project Management </w:t>
      </w:r>
      <w:r w:rsidR="00F86A13">
        <w:rPr>
          <w:b/>
        </w:rPr>
        <w:t>Model</w:t>
      </w:r>
      <w:r w:rsidR="00954B33">
        <w:rPr>
          <w:b/>
        </w:rPr>
        <w:t>s</w:t>
      </w:r>
    </w:p>
    <w:p w:rsidR="00230231" w:rsidRPr="00230231" w:rsidRDefault="00230231" w:rsidP="00230231">
      <w:pPr>
        <w:spacing w:line="480" w:lineRule="auto"/>
        <w:ind w:firstLine="720"/>
      </w:pPr>
      <w:r>
        <w:t xml:space="preserve">The </w:t>
      </w:r>
      <w:r w:rsidR="00010584">
        <w:t xml:space="preserve">development team uses </w:t>
      </w:r>
      <w:r>
        <w:t xml:space="preserve">the Successive Approximation Model (SAM) </w:t>
      </w:r>
      <w:r w:rsidR="00010584">
        <w:t xml:space="preserve">as the instructional model to develop the eLearning modules for this project </w:t>
      </w:r>
      <w:r>
        <w:t>(</w:t>
      </w:r>
      <w:r w:rsidRPr="00230231">
        <w:t>http://www.alleninteractions.com/sam-process</w:t>
      </w:r>
      <w:r>
        <w:t xml:space="preserve">). The three phases of SAM include the preparation phase, the iterative design phase, and the iterative development phase. SAM starts with the </w:t>
      </w:r>
      <w:r>
        <w:rPr>
          <w:rStyle w:val="hscoswrapper"/>
        </w:rPr>
        <w:t xml:space="preserve">preparation phase </w:t>
      </w:r>
      <w:r w:rsidR="0027683C">
        <w:rPr>
          <w:rStyle w:val="hscoswrapper"/>
        </w:rPr>
        <w:t xml:space="preserve">where the development team </w:t>
      </w:r>
      <w:r>
        <w:rPr>
          <w:rStyle w:val="hscoswrapper"/>
        </w:rPr>
        <w:t>gathers background knowledge</w:t>
      </w:r>
      <w:r w:rsidR="0027683C">
        <w:rPr>
          <w:rStyle w:val="hscoswrapper"/>
        </w:rPr>
        <w:t xml:space="preserve"> on the subject matter and discusses preliminary design prototypes. The iterative design phase includes project planning and additional design prototyping</w:t>
      </w:r>
      <w:r w:rsidR="009A7F8D">
        <w:rPr>
          <w:rStyle w:val="hscoswrapper"/>
        </w:rPr>
        <w:t>. Finally, the iterative development phase includes the crea</w:t>
      </w:r>
      <w:r w:rsidR="007A4D36">
        <w:rPr>
          <w:rStyle w:val="hscoswrapper"/>
        </w:rPr>
        <w:t xml:space="preserve">tion of the design proof </w:t>
      </w:r>
      <w:r w:rsidR="009A7F8D">
        <w:rPr>
          <w:rStyle w:val="hscoswrapper"/>
        </w:rPr>
        <w:t xml:space="preserve">used to build the </w:t>
      </w:r>
      <w:r w:rsidR="009D0F40">
        <w:rPr>
          <w:rStyle w:val="hscoswrapper"/>
        </w:rPr>
        <w:t xml:space="preserve">alpha version of the </w:t>
      </w:r>
      <w:r w:rsidR="009A7F8D">
        <w:rPr>
          <w:rStyle w:val="hscoswrapper"/>
        </w:rPr>
        <w:t>eLearning.</w:t>
      </w:r>
      <w:r w:rsidR="00136DDE">
        <w:rPr>
          <w:rStyle w:val="hscoswrapper"/>
        </w:rPr>
        <w:t xml:space="preserve"> Figure 1 presents a graphical representation of SAM.</w:t>
      </w:r>
    </w:p>
    <w:p w:rsidR="00E2391B" w:rsidRDefault="00E2391B" w:rsidP="00E2391B">
      <w:pPr>
        <w:spacing w:line="480" w:lineRule="auto"/>
        <w:rPr>
          <w:b/>
        </w:rPr>
      </w:pPr>
      <w:proofErr w:type="gramStart"/>
      <w:r>
        <w:rPr>
          <w:b/>
        </w:rPr>
        <w:t>Figure 1.</w:t>
      </w:r>
      <w:proofErr w:type="gramEnd"/>
      <w:r>
        <w:rPr>
          <w:b/>
        </w:rPr>
        <w:t xml:space="preserve"> </w:t>
      </w:r>
      <w:r w:rsidRPr="00E2391B">
        <w:t>Successive Approximation Model</w:t>
      </w:r>
      <w:r w:rsidR="00423070">
        <w:t xml:space="preserve"> (SAM)</w:t>
      </w:r>
    </w:p>
    <w:p w:rsidR="00E05A42" w:rsidRDefault="0061422C" w:rsidP="0061422C">
      <w:pPr>
        <w:spacing w:line="480" w:lineRule="auto"/>
        <w:jc w:val="both"/>
      </w:pPr>
      <w:r>
        <w:rPr>
          <w:noProof/>
        </w:rPr>
        <w:drawing>
          <wp:inline distT="0" distB="0" distL="0" distR="0" wp14:anchorId="478DDF7F" wp14:editId="28C3EEB8">
            <wp:extent cx="5943600" cy="2014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070" w:rsidRDefault="00423070" w:rsidP="00423070">
      <w:pPr>
        <w:spacing w:line="240" w:lineRule="auto"/>
      </w:pPr>
      <w:proofErr w:type="gramStart"/>
      <w:r w:rsidRPr="00423070">
        <w:rPr>
          <w:i/>
        </w:rPr>
        <w:t>Figure 1.</w:t>
      </w:r>
      <w:proofErr w:type="gramEnd"/>
      <w:r w:rsidRPr="00423070">
        <w:rPr>
          <w:i/>
        </w:rPr>
        <w:t xml:space="preserve"> </w:t>
      </w:r>
      <w:proofErr w:type="gramStart"/>
      <w:r>
        <w:t>The SAM Process.</w:t>
      </w:r>
      <w:proofErr w:type="gramEnd"/>
      <w:r>
        <w:t xml:space="preserve"> </w:t>
      </w:r>
      <w:proofErr w:type="gramStart"/>
      <w:r>
        <w:t xml:space="preserve">Adapted from “Leaving ADDIE for SAM,” by </w:t>
      </w:r>
      <w:r w:rsidR="00512985">
        <w:t>Allen Interactions, Inc., 2016.</w:t>
      </w:r>
      <w:proofErr w:type="gramEnd"/>
      <w:r w:rsidR="00512985">
        <w:t xml:space="preserve"> </w:t>
      </w:r>
      <w:proofErr w:type="gramStart"/>
      <w:r w:rsidR="00512985">
        <w:t>Copyright 2016 by Allen Interactions, Inc.</w:t>
      </w:r>
      <w:proofErr w:type="gramEnd"/>
    </w:p>
    <w:p w:rsidR="003A6379" w:rsidRDefault="003A6379" w:rsidP="003A6379">
      <w:pPr>
        <w:spacing w:line="480" w:lineRule="auto"/>
        <w:ind w:firstLine="720"/>
      </w:pPr>
      <w:r>
        <w:t xml:space="preserve">The project manager will create </w:t>
      </w:r>
      <w:r w:rsidR="00577137">
        <w:t xml:space="preserve">a </w:t>
      </w:r>
      <w:proofErr w:type="spellStart"/>
      <w:r w:rsidR="00577137">
        <w:t>Gnatt</w:t>
      </w:r>
      <w:proofErr w:type="spellEnd"/>
      <w:r w:rsidR="00577137">
        <w:t xml:space="preserve"> chart for</w:t>
      </w:r>
      <w:r w:rsidR="00875529">
        <w:t xml:space="preserve"> tracking </w:t>
      </w:r>
      <w:r w:rsidR="002D7846">
        <w:t xml:space="preserve">project </w:t>
      </w:r>
      <w:r w:rsidR="00875529">
        <w:t>milestones</w:t>
      </w:r>
      <w:r>
        <w:t xml:space="preserve"> during the project planning phase</w:t>
      </w:r>
      <w:r w:rsidR="008F0E93">
        <w:t xml:space="preserve"> (Russell, 2000)</w:t>
      </w:r>
      <w:r w:rsidR="004D5540">
        <w:t xml:space="preserve">. The </w:t>
      </w:r>
      <w:r w:rsidR="007E2319">
        <w:t>activities need</w:t>
      </w:r>
      <w:r w:rsidR="00C81154">
        <w:t>ed</w:t>
      </w:r>
      <w:r w:rsidR="007E2319">
        <w:t xml:space="preserve"> to achieve each milestone of the </w:t>
      </w:r>
      <w:r w:rsidR="007E2319">
        <w:lastRenderedPageBreak/>
        <w:t xml:space="preserve">design and development phases </w:t>
      </w:r>
      <w:r>
        <w:t>will specify</w:t>
      </w:r>
      <w:r w:rsidR="007E2319">
        <w:t xml:space="preserve"> the start date, end date, and </w:t>
      </w:r>
      <w:r w:rsidR="00C81154">
        <w:t>the p</w:t>
      </w:r>
      <w:r w:rsidR="00173B49">
        <w:t>erson responsible on</w:t>
      </w:r>
      <w:r w:rsidR="00875529">
        <w:t xml:space="preserve"> the chart. </w:t>
      </w:r>
      <w:r>
        <w:t xml:space="preserve">The project manager </w:t>
      </w:r>
      <w:r w:rsidR="00FA432F">
        <w:t>will use</w:t>
      </w:r>
      <w:r>
        <w:t xml:space="preserve"> </w:t>
      </w:r>
      <w:r w:rsidR="00577137">
        <w:t>Microsoft Project</w:t>
      </w:r>
      <w:r>
        <w:t xml:space="preserve"> </w:t>
      </w:r>
      <w:r w:rsidR="00FA432F">
        <w:t>to develop</w:t>
      </w:r>
      <w:r>
        <w:t xml:space="preserve"> the project plan</w:t>
      </w:r>
      <w:r w:rsidR="00577137">
        <w:t>.</w:t>
      </w:r>
    </w:p>
    <w:p w:rsidR="003A6379" w:rsidRDefault="003A6379" w:rsidP="003A6379">
      <w:pPr>
        <w:spacing w:line="480" w:lineRule="auto"/>
        <w:ind w:firstLine="720"/>
        <w:jc w:val="center"/>
        <w:rPr>
          <w:b/>
        </w:rPr>
      </w:pPr>
      <w:r>
        <w:rPr>
          <w:b/>
        </w:rPr>
        <w:t>Target Group Key Characteristics</w:t>
      </w:r>
    </w:p>
    <w:p w:rsidR="003A6379" w:rsidRDefault="00902B19" w:rsidP="003A6379">
      <w:pPr>
        <w:spacing w:before="240" w:line="480" w:lineRule="auto"/>
        <w:ind w:firstLine="720"/>
      </w:pPr>
      <w:r>
        <w:t>QI AGS360</w:t>
      </w:r>
      <w:r w:rsidR="003A6379">
        <w:t xml:space="preserve"> clients are located throughout the world and </w:t>
      </w:r>
      <w:r w:rsidR="00010584">
        <w:t>must become familiar with</w:t>
      </w:r>
      <w:r w:rsidR="003A6379">
        <w:t xml:space="preserve"> application functionality quickly after installation. </w:t>
      </w:r>
      <w:r w:rsidR="00010584">
        <w:t xml:space="preserve">GPOs in the United States </w:t>
      </w:r>
      <w:r w:rsidR="007523AF">
        <w:t xml:space="preserve">must </w:t>
      </w:r>
      <w:r w:rsidR="00010584">
        <w:t>report t</w:t>
      </w:r>
      <w:r w:rsidR="003A6379">
        <w:t xml:space="preserve">he previous </w:t>
      </w:r>
      <w:proofErr w:type="gramStart"/>
      <w:r w:rsidR="003A6379">
        <w:t>ye</w:t>
      </w:r>
      <w:r w:rsidR="00010584">
        <w:t>ar’s</w:t>
      </w:r>
      <w:proofErr w:type="gramEnd"/>
      <w:r w:rsidR="00010584">
        <w:t xml:space="preserve"> spend </w:t>
      </w:r>
      <w:r w:rsidR="003A6379">
        <w:t>to the Centers for Medic</w:t>
      </w:r>
      <w:r w:rsidR="007523AF">
        <w:t>are &amp; Medicaid Services (CMS)</w:t>
      </w:r>
      <w:r w:rsidR="003A6379">
        <w:t xml:space="preserve"> </w:t>
      </w:r>
      <w:r w:rsidR="007523AF">
        <w:t xml:space="preserve">on </w:t>
      </w:r>
      <w:r w:rsidR="003A6379">
        <w:t>March 31</w:t>
      </w:r>
      <w:r w:rsidR="003A6379" w:rsidRPr="00AA506B">
        <w:rPr>
          <w:vertAlign w:val="superscript"/>
        </w:rPr>
        <w:t>st</w:t>
      </w:r>
      <w:r w:rsidR="006D7C33">
        <w:t xml:space="preserve"> </w:t>
      </w:r>
      <w:r w:rsidR="003A6379">
        <w:t>(</w:t>
      </w:r>
      <w:r w:rsidR="003A6379" w:rsidRPr="00AA506B">
        <w:t>https://www.cms.gov/OpenPayments/Downloads/Open-Payments-User-Guide.pdf</w:t>
      </w:r>
      <w:r w:rsidR="003A6379">
        <w:t xml:space="preserve">). Since physicians can dispute expense data, </w:t>
      </w:r>
      <w:proofErr w:type="spellStart"/>
      <w:r w:rsidR="003A6379">
        <w:t>QuintilesIMS</w:t>
      </w:r>
      <w:proofErr w:type="spellEnd"/>
      <w:r w:rsidR="003A6379">
        <w:t xml:space="preserve"> clients have incentive to vet expense data prior to reporting to CMS. As a result, </w:t>
      </w:r>
      <w:r w:rsidR="00AE74CD">
        <w:t>QI</w:t>
      </w:r>
      <w:r w:rsidR="003A6379">
        <w:t xml:space="preserve"> clients are interested in shortening the learning curve of new AGS users.</w:t>
      </w:r>
    </w:p>
    <w:p w:rsidR="003A6379" w:rsidRPr="00290C1E" w:rsidRDefault="003A6379" w:rsidP="003A6379">
      <w:pPr>
        <w:spacing w:line="480" w:lineRule="auto"/>
        <w:ind w:firstLine="720"/>
      </w:pPr>
      <w:r>
        <w:t xml:space="preserve">A focus group conducted with experienced AGS360 users explored the skills </w:t>
      </w:r>
      <w:r w:rsidR="006D7C33">
        <w:t>that</w:t>
      </w:r>
      <w:r>
        <w:t xml:space="preserve"> new AGS360 users</w:t>
      </w:r>
      <w:r w:rsidR="006D7C33">
        <w:t xml:space="preserve"> must acquire</w:t>
      </w:r>
      <w:r>
        <w:t xml:space="preserve">. The top </w:t>
      </w:r>
      <w:r w:rsidR="00902B19">
        <w:t xml:space="preserve">required </w:t>
      </w:r>
      <w:r>
        <w:t xml:space="preserve">skills involve entering and editing expense data as well as completing </w:t>
      </w:r>
      <w:proofErr w:type="gramStart"/>
      <w:r>
        <w:t>spend</w:t>
      </w:r>
      <w:proofErr w:type="gramEnd"/>
      <w:r>
        <w:t xml:space="preserve"> reports. These cont</w:t>
      </w:r>
      <w:r w:rsidR="006D7C33">
        <w:t>ent choices were corroborated during</w:t>
      </w:r>
      <w:r>
        <w:t xml:space="preserve"> a review of support cases which showed the same content areas resulted in the largest amount </w:t>
      </w:r>
      <w:r w:rsidR="00741887">
        <w:t>of calls</w:t>
      </w:r>
      <w:r>
        <w:t>.</w:t>
      </w:r>
    </w:p>
    <w:p w:rsidR="00B14BB5" w:rsidRDefault="00F86A13" w:rsidP="0014141D">
      <w:pPr>
        <w:spacing w:line="480" w:lineRule="auto"/>
        <w:jc w:val="center"/>
        <w:rPr>
          <w:b/>
        </w:rPr>
      </w:pPr>
      <w:r>
        <w:rPr>
          <w:b/>
        </w:rPr>
        <w:t xml:space="preserve">Multimedia </w:t>
      </w:r>
      <w:r w:rsidR="00B14BB5">
        <w:rPr>
          <w:b/>
        </w:rPr>
        <w:t>Rationale</w:t>
      </w:r>
    </w:p>
    <w:p w:rsidR="00184194" w:rsidRDefault="008E6EB0" w:rsidP="00184194">
      <w:pPr>
        <w:spacing w:line="480" w:lineRule="auto"/>
        <w:ind w:firstLine="720"/>
      </w:pPr>
      <w:r>
        <w:t xml:space="preserve">Technology can </w:t>
      </w:r>
      <w:r w:rsidR="003E7AF7">
        <w:t>provide</w:t>
      </w:r>
      <w:r w:rsidR="006D7C33">
        <w:t xml:space="preserve"> the</w:t>
      </w:r>
      <w:r w:rsidR="003E7AF7">
        <w:t xml:space="preserve"> just-in-time</w:t>
      </w:r>
      <w:r w:rsidR="00B56D51">
        <w:t>,</w:t>
      </w:r>
      <w:r w:rsidR="00184194">
        <w:t xml:space="preserve"> </w:t>
      </w:r>
      <w:r w:rsidR="003E7AF7">
        <w:t>just</w:t>
      </w:r>
      <w:r w:rsidR="006D7C33">
        <w:t>-in-place learning needed for the</w:t>
      </w:r>
      <w:r w:rsidR="003E7AF7">
        <w:t xml:space="preserve"> </w:t>
      </w:r>
      <w:r w:rsidR="006D7C33">
        <w:t xml:space="preserve">target </w:t>
      </w:r>
      <w:r w:rsidR="003E7AF7">
        <w:t>audienc</w:t>
      </w:r>
      <w:r w:rsidR="006D7C33">
        <w:t>e</w:t>
      </w:r>
      <w:r w:rsidR="003E7AF7">
        <w:t>.</w:t>
      </w:r>
      <w:r>
        <w:t xml:space="preserve"> “Technology- supported environments-computer-mediated communication, computer-supported collaborative work, case-based learning environments, and computer-based cognitive tools, for example- can offer the field of distance education alternative approaches to facilitating learning” (</w:t>
      </w:r>
      <w:proofErr w:type="spellStart"/>
      <w:r>
        <w:t>Jonassen</w:t>
      </w:r>
      <w:proofErr w:type="spellEnd"/>
      <w:r>
        <w:t xml:space="preserve">, Davidson, Collins, Campbell, &amp; Haag, </w:t>
      </w:r>
      <w:r w:rsidRPr="008E6EB0">
        <w:t>1995</w:t>
      </w:r>
      <w:r>
        <w:t>, p. 15)</w:t>
      </w:r>
      <w:r w:rsidR="00184194">
        <w:t>.</w:t>
      </w:r>
      <w:r w:rsidR="00EF0E06">
        <w:t xml:space="preserve"> Multimedia learning </w:t>
      </w:r>
      <w:r w:rsidR="00EF0E06">
        <w:lastRenderedPageBreak/>
        <w:t>solutions for this project</w:t>
      </w:r>
      <w:r w:rsidR="00B25CEA">
        <w:t xml:space="preserve"> consists of</w:t>
      </w:r>
      <w:r w:rsidR="00EF0E06">
        <w:t xml:space="preserve"> asynchronous computer-based solutions using QI’s proprietary </w:t>
      </w:r>
      <w:proofErr w:type="spellStart"/>
      <w:r w:rsidR="00EF0E06">
        <w:t>eUniversity</w:t>
      </w:r>
      <w:proofErr w:type="spellEnd"/>
      <w:r w:rsidR="00EF0E06">
        <w:t xml:space="preserve"> learning management system.</w:t>
      </w:r>
    </w:p>
    <w:p w:rsidR="00741887" w:rsidRDefault="00741887" w:rsidP="00184194">
      <w:pPr>
        <w:spacing w:line="480" w:lineRule="auto"/>
        <w:ind w:firstLine="720"/>
      </w:pPr>
      <w:r>
        <w:t xml:space="preserve">The current QI AGS360 eLearning solution </w:t>
      </w:r>
      <w:r w:rsidR="00DC5049">
        <w:t>consists of asynchronous eLear</w:t>
      </w:r>
      <w:r w:rsidR="00B37F6D">
        <w:t>n</w:t>
      </w:r>
      <w:r w:rsidR="00DC5049">
        <w:t xml:space="preserve">ing modules that </w:t>
      </w:r>
      <w:r>
        <w:t>document an older version of the software that concentrates solely on click paths</w:t>
      </w:r>
      <w:r w:rsidR="00DC5049">
        <w:t xml:space="preserve"> with no contextual knowledge</w:t>
      </w:r>
      <w:r>
        <w:t>. An upcoming version of the software necessitates an update</w:t>
      </w:r>
      <w:r w:rsidR="00DC5049">
        <w:t xml:space="preserve"> of these modules. </w:t>
      </w:r>
      <w:r w:rsidR="00FA3CFD">
        <w:t xml:space="preserve">At the same time, </w:t>
      </w:r>
      <w:r w:rsidR="00A0723B">
        <w:t>the modules will</w:t>
      </w:r>
      <w:r w:rsidR="00FA3CFD">
        <w:t xml:space="preserve"> use case-based learning scenarios which will help learners make better sense of how to use AGS360 (</w:t>
      </w:r>
      <w:proofErr w:type="spellStart"/>
      <w:r w:rsidR="00FA3CFD">
        <w:t>Jonassen</w:t>
      </w:r>
      <w:proofErr w:type="spellEnd"/>
      <w:r w:rsidR="00FA3CFD">
        <w:t>, et al., 1995</w:t>
      </w:r>
      <w:r w:rsidR="00AB0018">
        <w:t xml:space="preserve">; Mayer, </w:t>
      </w:r>
      <w:r w:rsidR="007644F2">
        <w:t>2009</w:t>
      </w:r>
      <w:r w:rsidR="00AB0018">
        <w:t>).</w:t>
      </w:r>
    </w:p>
    <w:p w:rsidR="00B14BB5" w:rsidRDefault="00B14BB5" w:rsidP="00184194">
      <w:pPr>
        <w:spacing w:line="480" w:lineRule="auto"/>
        <w:ind w:firstLine="720"/>
        <w:jc w:val="center"/>
        <w:rPr>
          <w:b/>
        </w:rPr>
      </w:pPr>
      <w:r>
        <w:rPr>
          <w:b/>
        </w:rPr>
        <w:t>Advantages and Disadvantages</w:t>
      </w:r>
      <w:r w:rsidR="00C570BD">
        <w:rPr>
          <w:b/>
        </w:rPr>
        <w:t xml:space="preserve"> of Online Learning Solutions</w:t>
      </w:r>
    </w:p>
    <w:p w:rsidR="00B70532" w:rsidRPr="00B70532" w:rsidRDefault="007644F2" w:rsidP="00B70532">
      <w:pPr>
        <w:spacing w:line="480" w:lineRule="auto"/>
        <w:ind w:firstLine="720"/>
      </w:pPr>
      <w:r>
        <w:t xml:space="preserve">Research </w:t>
      </w:r>
      <w:r w:rsidR="00AE74CD">
        <w:t>cannot determine</w:t>
      </w:r>
      <w:r>
        <w:t xml:space="preserve"> the superiority of either face-to-face instruction or distance education modalities such as eLearning. Reeves and </w:t>
      </w:r>
      <w:proofErr w:type="spellStart"/>
      <w:r>
        <w:t>Hedberg</w:t>
      </w:r>
      <w:proofErr w:type="spellEnd"/>
      <w:r>
        <w:t xml:space="preserve"> (2003) </w:t>
      </w:r>
      <w:r w:rsidR="005E356D">
        <w:t xml:space="preserve">as well as </w:t>
      </w:r>
      <w:proofErr w:type="spellStart"/>
      <w:r w:rsidR="005E356D">
        <w:t>Kozma</w:t>
      </w:r>
      <w:proofErr w:type="spellEnd"/>
      <w:r w:rsidR="005E356D">
        <w:t xml:space="preserve"> (1994) support the viewpoint that eLearning modalities help enhance learner understanding</w:t>
      </w:r>
      <w:r w:rsidR="00ED118E">
        <w:t xml:space="preserve">. </w:t>
      </w:r>
      <w:r w:rsidR="005E356D">
        <w:t>Clark (1994) attributes learning as a product of instructional design, not from the media itself.</w:t>
      </w:r>
      <w:r w:rsidR="00ED118E">
        <w:t xml:space="preserve"> Vaughan (2010) supports a blend of face-to-face and online instruction.</w:t>
      </w:r>
      <w:r w:rsidR="00F13BAD">
        <w:t xml:space="preserve"> </w:t>
      </w:r>
      <w:r w:rsidR="006D7C33">
        <w:t>T</w:t>
      </w:r>
      <w:r w:rsidR="00E90DF4">
        <w:t>he t</w:t>
      </w:r>
      <w:r w:rsidR="006D7C33">
        <w:t>arget audience lives in different time zones which</w:t>
      </w:r>
      <w:r w:rsidR="00E90DF4">
        <w:t xml:space="preserve"> make</w:t>
      </w:r>
      <w:r w:rsidR="00F13BAD">
        <w:t xml:space="preserve"> </w:t>
      </w:r>
      <w:r w:rsidR="00E90DF4">
        <w:t xml:space="preserve">an </w:t>
      </w:r>
      <w:r w:rsidR="00F13BAD">
        <w:t>online solution</w:t>
      </w:r>
      <w:r w:rsidR="00CB3D7F">
        <w:t xml:space="preserve"> </w:t>
      </w:r>
      <w:r w:rsidR="00F13BAD">
        <w:t>the preferred modality.</w:t>
      </w:r>
    </w:p>
    <w:p w:rsidR="00B14BB5" w:rsidRDefault="00C570BD" w:rsidP="0014141D">
      <w:pPr>
        <w:spacing w:line="480" w:lineRule="auto"/>
        <w:jc w:val="center"/>
        <w:rPr>
          <w:b/>
        </w:rPr>
      </w:pPr>
      <w:r>
        <w:rPr>
          <w:b/>
        </w:rPr>
        <w:t xml:space="preserve">Evaluation </w:t>
      </w:r>
      <w:r w:rsidR="00B14BB5">
        <w:rPr>
          <w:b/>
        </w:rPr>
        <w:t>Criteria</w:t>
      </w:r>
    </w:p>
    <w:p w:rsidR="00E90DF4" w:rsidRDefault="00E90DF4" w:rsidP="00E90DF4">
      <w:pPr>
        <w:spacing w:line="480" w:lineRule="auto"/>
        <w:ind w:firstLine="720"/>
      </w:pPr>
      <w:r>
        <w:t>A modified version of the learning object review</w:t>
      </w:r>
      <w:r w:rsidR="00E34262">
        <w:t xml:space="preserve"> instrument (LORI) </w:t>
      </w:r>
      <w:r>
        <w:t>will serve as the evaluation criteria for the pilot</w:t>
      </w:r>
      <w:r w:rsidR="00E34262">
        <w:t xml:space="preserve"> (Nesbit, </w:t>
      </w:r>
      <w:proofErr w:type="spellStart"/>
      <w:r w:rsidR="00E34262">
        <w:t>Belfer</w:t>
      </w:r>
      <w:proofErr w:type="spellEnd"/>
      <w:r w:rsidR="00E34262">
        <w:t>, &amp; Leacock, 2004)</w:t>
      </w:r>
      <w:r>
        <w:t xml:space="preserve">. The standard dimensions defined in Nesbit </w:t>
      </w:r>
      <w:r w:rsidR="00191062">
        <w:t>et al.’s (2004) LORI instrument are</w:t>
      </w:r>
      <w:r>
        <w:t xml:space="preserve"> content quality, learning goal alignment, feedback/adaptation, motivation, presentation design, interaction usability, </w:t>
      </w:r>
      <w:proofErr w:type="gramStart"/>
      <w:r>
        <w:t>accessibility</w:t>
      </w:r>
      <w:proofErr w:type="gramEnd"/>
      <w:r>
        <w:t xml:space="preserve">, reusability, and standards </w:t>
      </w:r>
      <w:r w:rsidR="00191062">
        <w:t>compliance</w:t>
      </w:r>
      <w:r>
        <w:t xml:space="preserve">. </w:t>
      </w:r>
      <w:r w:rsidR="00191062">
        <w:t xml:space="preserve">The modified rubric will not include the dimension of accessibility as QI’s proprietary </w:t>
      </w:r>
      <w:proofErr w:type="spellStart"/>
      <w:r w:rsidR="00191062">
        <w:t>eUniversity</w:t>
      </w:r>
      <w:proofErr w:type="spellEnd"/>
      <w:r w:rsidR="00191062">
        <w:t xml:space="preserve"> learning management system only functions on </w:t>
      </w:r>
      <w:r w:rsidR="00191062">
        <w:lastRenderedPageBreak/>
        <w:t>computers and not on mobile devices. The modified rubric will not include the dimension of reusability due to the nature of the highly specialized content required for this project.</w:t>
      </w:r>
    </w:p>
    <w:p w:rsidR="00B37F6D" w:rsidRDefault="00B37F6D" w:rsidP="00E90DF4">
      <w:pPr>
        <w:spacing w:line="480" w:lineRule="auto"/>
        <w:ind w:firstLine="720"/>
      </w:pPr>
      <w:r>
        <w:t>In addition to the LORI e</w:t>
      </w:r>
      <w:r w:rsidR="00AE74CD">
        <w:t>valuation, the study author recommends a comparison of support incidents</w:t>
      </w:r>
      <w:r>
        <w:t xml:space="preserve">. This study will take place within a nine month following the final deployment. This comparison will contrast the number and nature of AGS360 support cases for a 30 day period prior to training deployment against a 30 day period after the training deployment. </w:t>
      </w:r>
    </w:p>
    <w:p w:rsidR="00B14BB5" w:rsidRDefault="00B14BB5" w:rsidP="0014141D">
      <w:pPr>
        <w:spacing w:line="480" w:lineRule="auto"/>
        <w:jc w:val="center"/>
        <w:rPr>
          <w:b/>
        </w:rPr>
      </w:pPr>
      <w:r>
        <w:rPr>
          <w:b/>
        </w:rPr>
        <w:t>Delivery</w:t>
      </w:r>
    </w:p>
    <w:p w:rsidR="00B25CEA" w:rsidRPr="00B25CEA" w:rsidRDefault="00AE74CD" w:rsidP="00B25CEA">
      <w:pPr>
        <w:spacing w:line="480" w:lineRule="auto"/>
        <w:ind w:firstLine="720"/>
      </w:pPr>
      <w:r>
        <w:t xml:space="preserve">The course developer will use Adobe Captivate to </w:t>
      </w:r>
      <w:r w:rsidR="003F0489">
        <w:t>develop the alpha, beta, and gold versions</w:t>
      </w:r>
      <w:r>
        <w:t xml:space="preserve"> of each module. Adobe Captivate allows for easy development eLearning modules that require screenshots of computer screenshots</w:t>
      </w:r>
      <w:r w:rsidR="00825056">
        <w:t xml:space="preserve">. QI’s proprietary </w:t>
      </w:r>
      <w:proofErr w:type="spellStart"/>
      <w:r w:rsidR="00825056">
        <w:t>eUniversity</w:t>
      </w:r>
      <w:proofErr w:type="spellEnd"/>
      <w:r w:rsidR="00825056">
        <w:t xml:space="preserve"> learning management system will host the eLearning modules.</w:t>
      </w:r>
      <w:r w:rsidR="003F0489">
        <w:t xml:space="preserve"> </w:t>
      </w:r>
    </w:p>
    <w:p w:rsidR="00B14BB5" w:rsidRDefault="00B14BB5" w:rsidP="0014141D">
      <w:pPr>
        <w:spacing w:line="480" w:lineRule="auto"/>
        <w:jc w:val="center"/>
        <w:rPr>
          <w:b/>
        </w:rPr>
      </w:pPr>
      <w:r>
        <w:rPr>
          <w:b/>
        </w:rPr>
        <w:t>Outline</w:t>
      </w:r>
      <w:r w:rsidR="00B37F6D">
        <w:rPr>
          <w:b/>
        </w:rPr>
        <w:t>s</w:t>
      </w:r>
    </w:p>
    <w:p w:rsidR="00AB386E" w:rsidRPr="00AB386E" w:rsidRDefault="00AB386E" w:rsidP="003F0489">
      <w:pPr>
        <w:spacing w:line="480" w:lineRule="auto"/>
        <w:ind w:firstLine="720"/>
      </w:pPr>
      <w:r>
        <w:t xml:space="preserve">The </w:t>
      </w:r>
      <w:r w:rsidRPr="00AB386E">
        <w:t xml:space="preserve">replacement eLearning modules </w:t>
      </w:r>
      <w:r w:rsidR="00010584">
        <w:t>recommended</w:t>
      </w:r>
      <w:r w:rsidRPr="00AB386E">
        <w:t xml:space="preserve"> for this project are:</w:t>
      </w:r>
    </w:p>
    <w:p w:rsidR="00AB386E" w:rsidRPr="00AB386E" w:rsidRDefault="00AB386E" w:rsidP="00AB386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Correcting </w:t>
      </w:r>
      <w:r w:rsidR="007E4D7D" w:rsidRPr="00AB386E">
        <w:rPr>
          <w:rFonts w:ascii="Times New Roman" w:hAnsi="Times New Roman" w:cs="Times New Roman"/>
          <w:sz w:val="24"/>
          <w:szCs w:val="24"/>
        </w:rPr>
        <w:t>Customer Expenses</w:t>
      </w:r>
    </w:p>
    <w:p w:rsidR="003F0489" w:rsidRDefault="00AB386E" w:rsidP="00AB386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386E">
        <w:rPr>
          <w:rFonts w:ascii="Times New Roman" w:hAnsi="Times New Roman" w:cs="Times New Roman"/>
          <w:sz w:val="24"/>
          <w:szCs w:val="24"/>
        </w:rPr>
        <w:t>Entering Customer Expenses</w:t>
      </w:r>
    </w:p>
    <w:p w:rsidR="00AB386E" w:rsidRDefault="00AB386E" w:rsidP="00AB386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Entering Meeting Expenses</w:t>
      </w:r>
    </w:p>
    <w:p w:rsidR="00AB386E" w:rsidRDefault="00AB386E" w:rsidP="00AB386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Federal/National Reports</w:t>
      </w:r>
    </w:p>
    <w:p w:rsidR="00AB386E" w:rsidRDefault="00FF27B9" w:rsidP="00AB386E">
      <w:pPr>
        <w:spacing w:line="480" w:lineRule="auto"/>
        <w:ind w:firstLine="720"/>
      </w:pPr>
      <w:r>
        <w:t>The learning objectives</w:t>
      </w:r>
      <w:r w:rsidR="00AB386E">
        <w:t xml:space="preserve"> for each module appear in Table 1:</w:t>
      </w:r>
    </w:p>
    <w:p w:rsidR="00A9685A" w:rsidRDefault="00A9685A">
      <w:r>
        <w:br w:type="page"/>
      </w:r>
    </w:p>
    <w:p w:rsidR="00AB386E" w:rsidRPr="0022566B" w:rsidRDefault="00AB386E" w:rsidP="00AB386E">
      <w:pPr>
        <w:jc w:val="both"/>
        <w:rPr>
          <w:u w:val="single"/>
        </w:rPr>
      </w:pPr>
      <w:r w:rsidRPr="00214CC8">
        <w:lastRenderedPageBreak/>
        <w:t>Table 1</w:t>
      </w:r>
    </w:p>
    <w:p w:rsidR="00AB386E" w:rsidRPr="0022566B" w:rsidRDefault="00AB386E" w:rsidP="00AB386E">
      <w:pPr>
        <w:jc w:val="both"/>
        <w:rPr>
          <w:b/>
          <w:i/>
        </w:rPr>
      </w:pPr>
      <w:r w:rsidRPr="0022566B">
        <w:rPr>
          <w:i/>
        </w:rPr>
        <w:t xml:space="preserve">AggregateSpend360 eLearning </w:t>
      </w:r>
      <w:r w:rsidR="00516EAB">
        <w:rPr>
          <w:i/>
        </w:rPr>
        <w:t xml:space="preserve">Module </w:t>
      </w:r>
      <w:r w:rsidR="00FF27B9">
        <w:rPr>
          <w:i/>
        </w:rPr>
        <w:t>Learning Objectives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58"/>
        <w:gridCol w:w="7380"/>
      </w:tblGrid>
      <w:tr w:rsidR="00AB386E" w:rsidTr="00516EAB">
        <w:trPr>
          <w:trHeight w:val="562"/>
        </w:trPr>
        <w:tc>
          <w:tcPr>
            <w:tcW w:w="2358" w:type="dxa"/>
          </w:tcPr>
          <w:p w:rsidR="00AB386E" w:rsidRPr="002B16FA" w:rsidRDefault="00516EAB" w:rsidP="00933951">
            <w:pPr>
              <w:rPr>
                <w:b/>
              </w:rPr>
            </w:pPr>
            <w:r>
              <w:rPr>
                <w:b/>
              </w:rPr>
              <w:t>eLearning Module</w:t>
            </w:r>
          </w:p>
        </w:tc>
        <w:tc>
          <w:tcPr>
            <w:tcW w:w="7380" w:type="dxa"/>
          </w:tcPr>
          <w:p w:rsidR="00AB386E" w:rsidRPr="002B16FA" w:rsidRDefault="00FF27B9" w:rsidP="00933951">
            <w:pPr>
              <w:rPr>
                <w:b/>
              </w:rPr>
            </w:pPr>
            <w:r>
              <w:rPr>
                <w:b/>
              </w:rPr>
              <w:t>Learning Objectives</w:t>
            </w:r>
          </w:p>
        </w:tc>
      </w:tr>
      <w:tr w:rsidR="00AB386E" w:rsidRPr="000774D3" w:rsidTr="00516EAB">
        <w:tc>
          <w:tcPr>
            <w:tcW w:w="2358" w:type="dxa"/>
          </w:tcPr>
          <w:p w:rsidR="00AB386E" w:rsidRPr="002B16FA" w:rsidRDefault="00516EAB" w:rsidP="00933951">
            <w:r w:rsidRPr="00516EAB">
              <w:t>Correcting Customer Expenses</w:t>
            </w:r>
          </w:p>
        </w:tc>
        <w:tc>
          <w:tcPr>
            <w:tcW w:w="7380" w:type="dxa"/>
          </w:tcPr>
          <w:p w:rsidR="00FF27B9" w:rsidRPr="00FF27B9" w:rsidRDefault="00FF27B9" w:rsidP="00471C7F">
            <w:pPr>
              <w:spacing w:line="276" w:lineRule="auto"/>
            </w:pPr>
            <w:r>
              <w:t>By the end of this module, you will be able to…</w:t>
            </w:r>
          </w:p>
          <w:p w:rsidR="00516EAB" w:rsidRPr="00516EAB" w:rsidRDefault="007F2629" w:rsidP="00471C7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Formulate a </w:t>
            </w:r>
            <w:r w:rsidR="00516EAB" w:rsidRPr="00516EAB">
              <w:rPr>
                <w:rFonts w:ascii="Times New Roman" w:hAnsi="Times New Roman" w:cs="Times New Roman"/>
                <w:sz w:val="24"/>
                <w:szCs w:val="24"/>
              </w:rPr>
              <w:t>quick search to find professionals and organizations</w:t>
            </w:r>
          </w:p>
          <w:p w:rsidR="00516EAB" w:rsidRPr="00516EAB" w:rsidRDefault="007F2629" w:rsidP="00471C7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spend data from the customer record</w:t>
            </w:r>
            <w:r w:rsidR="00516EAB" w:rsidRPr="00516EAB">
              <w:rPr>
                <w:rFonts w:ascii="Times New Roman" w:hAnsi="Times New Roman" w:cs="Times New Roman"/>
                <w:sz w:val="24"/>
                <w:szCs w:val="24"/>
              </w:rPr>
              <w:t xml:space="preserve"> expense </w:t>
            </w:r>
          </w:p>
          <w:p w:rsidR="007F2629" w:rsidRDefault="007F2629" w:rsidP="00471C7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629">
              <w:rPr>
                <w:rFonts w:ascii="Times New Roman" w:hAnsi="Times New Roman" w:cs="Times New Roman"/>
                <w:sz w:val="24"/>
                <w:szCs w:val="24"/>
              </w:rPr>
              <w:t>Correct spend data from a</w:t>
            </w:r>
            <w:r w:rsidR="00516EAB" w:rsidRPr="007F2629">
              <w:rPr>
                <w:rFonts w:ascii="Times New Roman" w:hAnsi="Times New Roman" w:cs="Times New Roman"/>
                <w:sz w:val="24"/>
                <w:szCs w:val="24"/>
              </w:rPr>
              <w:t xml:space="preserve"> customer expense search </w:t>
            </w:r>
          </w:p>
          <w:p w:rsidR="00AB386E" w:rsidRPr="002B16FA" w:rsidRDefault="007F2629" w:rsidP="00471C7F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b</w:t>
            </w:r>
            <w:r w:rsidR="00516EAB" w:rsidRPr="007F2629">
              <w:rPr>
                <w:rFonts w:ascii="Times New Roman" w:hAnsi="Times New Roman" w:cs="Times New Roman"/>
                <w:sz w:val="24"/>
                <w:szCs w:val="24"/>
              </w:rPr>
              <w:t>est practices for searching</w:t>
            </w:r>
          </w:p>
        </w:tc>
      </w:tr>
      <w:tr w:rsidR="00516EAB" w:rsidRPr="000774D3" w:rsidTr="00516EAB">
        <w:tc>
          <w:tcPr>
            <w:tcW w:w="2358" w:type="dxa"/>
          </w:tcPr>
          <w:p w:rsidR="00516EAB" w:rsidRPr="00516EAB" w:rsidRDefault="00516EAB" w:rsidP="00933951">
            <w:r>
              <w:t>Entering Customer Expenses</w:t>
            </w:r>
          </w:p>
        </w:tc>
        <w:tc>
          <w:tcPr>
            <w:tcW w:w="7380" w:type="dxa"/>
          </w:tcPr>
          <w:p w:rsidR="00FF27B9" w:rsidRPr="00FF27B9" w:rsidRDefault="00FF27B9" w:rsidP="00471C7F">
            <w:pPr>
              <w:spacing w:line="276" w:lineRule="auto"/>
            </w:pPr>
            <w:r>
              <w:t>By the end of this module, you will be able to…</w:t>
            </w:r>
          </w:p>
          <w:p w:rsidR="00516EAB" w:rsidRDefault="007F2629" w:rsidP="00471C7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</w:t>
            </w:r>
            <w:r w:rsidR="00516EAB">
              <w:rPr>
                <w:rFonts w:ascii="Times New Roman" w:hAnsi="Times New Roman" w:cs="Times New Roman"/>
                <w:sz w:val="24"/>
                <w:szCs w:val="24"/>
              </w:rPr>
              <w:t xml:space="preserve"> new customer expenses from the AGS360 menu</w:t>
            </w:r>
          </w:p>
          <w:p w:rsidR="00516EAB" w:rsidRDefault="00516EAB" w:rsidP="00471C7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new customer expense</w:t>
            </w:r>
            <w:r w:rsidR="007F26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a template</w:t>
            </w:r>
          </w:p>
          <w:p w:rsidR="00516EAB" w:rsidRPr="00516EAB" w:rsidRDefault="007F2629" w:rsidP="00471C7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b</w:t>
            </w:r>
            <w:r w:rsidR="00516EAB">
              <w:rPr>
                <w:rFonts w:ascii="Times New Roman" w:hAnsi="Times New Roman" w:cs="Times New Roman"/>
                <w:sz w:val="24"/>
                <w:szCs w:val="24"/>
              </w:rPr>
              <w:t>est practices for using the customer template</w:t>
            </w:r>
          </w:p>
        </w:tc>
      </w:tr>
      <w:tr w:rsidR="00516EAB" w:rsidRPr="000774D3" w:rsidTr="00516EAB">
        <w:tc>
          <w:tcPr>
            <w:tcW w:w="2358" w:type="dxa"/>
          </w:tcPr>
          <w:p w:rsidR="00516EAB" w:rsidRDefault="00516EAB" w:rsidP="00933951">
            <w:r>
              <w:t>Entering Meeting Expenses</w:t>
            </w:r>
          </w:p>
        </w:tc>
        <w:tc>
          <w:tcPr>
            <w:tcW w:w="7380" w:type="dxa"/>
          </w:tcPr>
          <w:p w:rsidR="00FF27B9" w:rsidRPr="00FF27B9" w:rsidRDefault="00FF27B9" w:rsidP="00471C7F">
            <w:pPr>
              <w:spacing w:line="276" w:lineRule="auto"/>
            </w:pPr>
            <w:r>
              <w:t>By the end of this module, you will be able to…</w:t>
            </w:r>
          </w:p>
          <w:p w:rsidR="00516EAB" w:rsidRDefault="007F2629" w:rsidP="00471C7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r w:rsidR="00516EAB">
              <w:rPr>
                <w:rFonts w:ascii="Times New Roman" w:hAnsi="Times New Roman" w:cs="Times New Roman"/>
                <w:sz w:val="24"/>
                <w:szCs w:val="24"/>
              </w:rPr>
              <w:t xml:space="preserve"> the three parts of a meeting</w:t>
            </w:r>
          </w:p>
          <w:p w:rsidR="00516EAB" w:rsidRDefault="007F2629" w:rsidP="00471C7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</w:t>
            </w:r>
            <w:r w:rsidR="00516EAB">
              <w:rPr>
                <w:rFonts w:ascii="Times New Roman" w:hAnsi="Times New Roman" w:cs="Times New Roman"/>
                <w:sz w:val="24"/>
                <w:szCs w:val="24"/>
              </w:rPr>
              <w:t xml:space="preserve"> new meeting expenses from the AGS360 menu</w:t>
            </w:r>
          </w:p>
          <w:p w:rsidR="00516EAB" w:rsidRDefault="007F2629" w:rsidP="00471C7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</w:t>
            </w:r>
            <w:r w:rsidR="00516EAB">
              <w:rPr>
                <w:rFonts w:ascii="Times New Roman" w:hAnsi="Times New Roman" w:cs="Times New Roman"/>
                <w:sz w:val="24"/>
                <w:szCs w:val="24"/>
              </w:rPr>
              <w:t xml:space="preserve"> meeting expenses to an existing meeting from the AGS360 menu</w:t>
            </w:r>
          </w:p>
          <w:p w:rsidR="00516EAB" w:rsidRDefault="00516EAB" w:rsidP="00471C7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 new meeting expense data using a template</w:t>
            </w:r>
          </w:p>
          <w:p w:rsidR="00516EAB" w:rsidRPr="00516EAB" w:rsidRDefault="007F2629" w:rsidP="00471C7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b</w:t>
            </w:r>
            <w:r w:rsidR="00516EAB">
              <w:rPr>
                <w:rFonts w:ascii="Times New Roman" w:hAnsi="Times New Roman" w:cs="Times New Roman"/>
                <w:sz w:val="24"/>
                <w:szCs w:val="24"/>
              </w:rPr>
              <w:t>est practices for using the meeting template</w:t>
            </w:r>
          </w:p>
        </w:tc>
      </w:tr>
      <w:tr w:rsidR="00516EAB" w:rsidRPr="000774D3" w:rsidTr="00516EAB">
        <w:tc>
          <w:tcPr>
            <w:tcW w:w="2358" w:type="dxa"/>
          </w:tcPr>
          <w:p w:rsidR="00516EAB" w:rsidRDefault="00516EAB" w:rsidP="00933951">
            <w:r>
              <w:t>Running Federal/National Reports</w:t>
            </w:r>
          </w:p>
        </w:tc>
        <w:tc>
          <w:tcPr>
            <w:tcW w:w="7380" w:type="dxa"/>
          </w:tcPr>
          <w:p w:rsidR="007F2629" w:rsidRPr="00FF27B9" w:rsidRDefault="007F2629" w:rsidP="00471C7F">
            <w:pPr>
              <w:spacing w:line="276" w:lineRule="auto"/>
            </w:pPr>
            <w:r>
              <w:t>By the end of this module, you will be able to…</w:t>
            </w:r>
          </w:p>
          <w:p w:rsidR="00516EAB" w:rsidRDefault="007F2629" w:rsidP="00471C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three parts of a spend report</w:t>
            </w:r>
          </w:p>
          <w:p w:rsidR="007F2629" w:rsidRDefault="007F2629" w:rsidP="00471C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r w:rsidR="00464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7F">
              <w:rPr>
                <w:rFonts w:ascii="Times New Roman" w:hAnsi="Times New Roman" w:cs="Times New Roman"/>
                <w:sz w:val="24"/>
                <w:szCs w:val="24"/>
              </w:rPr>
              <w:t>a new template</w:t>
            </w:r>
          </w:p>
          <w:p w:rsidR="00471C7F" w:rsidRDefault="00471C7F" w:rsidP="00471C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new report</w:t>
            </w:r>
          </w:p>
          <w:p w:rsidR="00471C7F" w:rsidRDefault="00471C7F" w:rsidP="00471C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post reporting options</w:t>
            </w:r>
          </w:p>
          <w:p w:rsidR="00516EAB" w:rsidRPr="00471C7F" w:rsidRDefault="00464694" w:rsidP="00471C7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="00471C7F">
              <w:rPr>
                <w:rFonts w:ascii="Times New Roman" w:hAnsi="Times New Roman" w:cs="Times New Roman"/>
                <w:sz w:val="24"/>
                <w:szCs w:val="24"/>
              </w:rPr>
              <w:t>which part of a spend report can influence report output</w:t>
            </w:r>
          </w:p>
        </w:tc>
      </w:tr>
    </w:tbl>
    <w:p w:rsidR="00516EAB" w:rsidRDefault="00516EAB" w:rsidP="0014141D">
      <w:pPr>
        <w:spacing w:line="480" w:lineRule="auto"/>
        <w:jc w:val="center"/>
        <w:rPr>
          <w:b/>
        </w:rPr>
      </w:pPr>
    </w:p>
    <w:p w:rsidR="00B14BB5" w:rsidRDefault="00B14BB5" w:rsidP="0014141D">
      <w:pPr>
        <w:spacing w:line="480" w:lineRule="auto"/>
        <w:jc w:val="center"/>
        <w:rPr>
          <w:b/>
        </w:rPr>
      </w:pPr>
      <w:r>
        <w:rPr>
          <w:b/>
        </w:rPr>
        <w:t>Project Team Role and Responsibilities</w:t>
      </w:r>
    </w:p>
    <w:p w:rsidR="00F13BAD" w:rsidRDefault="00191062" w:rsidP="00AE07ED">
      <w:pPr>
        <w:spacing w:line="480" w:lineRule="auto"/>
        <w:ind w:firstLine="720"/>
      </w:pPr>
      <w:r>
        <w:t xml:space="preserve">The development team will consist of subject matter </w:t>
      </w:r>
      <w:r w:rsidR="0022566B">
        <w:t>e</w:t>
      </w:r>
      <w:r>
        <w:t>xperts, a p</w:t>
      </w:r>
      <w:r w:rsidR="0022566B">
        <w:t>roject m</w:t>
      </w:r>
      <w:r>
        <w:t xml:space="preserve">anager, </w:t>
      </w:r>
      <w:r w:rsidR="0022566B">
        <w:t>an instructional designer, a graphic a</w:t>
      </w:r>
      <w:r>
        <w:t xml:space="preserve">rtist, and a </w:t>
      </w:r>
      <w:r w:rsidR="0022566B">
        <w:t>course de</w:t>
      </w:r>
      <w:r w:rsidR="00AE07ED">
        <w:t>veloper</w:t>
      </w:r>
      <w:r w:rsidR="0022566B">
        <w:t>. T</w:t>
      </w:r>
      <w:r w:rsidR="00AB386E">
        <w:t>able 2</w:t>
      </w:r>
      <w:r w:rsidR="0022566B">
        <w:t xml:space="preserve"> details the responsibilities of each project team member.</w:t>
      </w:r>
    </w:p>
    <w:p w:rsidR="00A9685A" w:rsidRDefault="00A9685A">
      <w:r>
        <w:br w:type="page"/>
      </w:r>
    </w:p>
    <w:p w:rsidR="0022566B" w:rsidRPr="0022566B" w:rsidRDefault="00AB386E" w:rsidP="0022566B">
      <w:pPr>
        <w:jc w:val="both"/>
        <w:rPr>
          <w:u w:val="single"/>
        </w:rPr>
      </w:pPr>
      <w:r>
        <w:lastRenderedPageBreak/>
        <w:t>Table 2</w:t>
      </w:r>
    </w:p>
    <w:p w:rsidR="0022566B" w:rsidRPr="0022566B" w:rsidRDefault="0022566B" w:rsidP="0022566B">
      <w:pPr>
        <w:jc w:val="both"/>
        <w:rPr>
          <w:b/>
          <w:i/>
        </w:rPr>
      </w:pPr>
      <w:r w:rsidRPr="0022566B">
        <w:rPr>
          <w:i/>
        </w:rPr>
        <w:t>AggregateSpend360 eLearning Replacement Project Team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718"/>
        <w:gridCol w:w="7020"/>
      </w:tblGrid>
      <w:tr w:rsidR="0022566B" w:rsidTr="00112380">
        <w:trPr>
          <w:trHeight w:val="562"/>
        </w:trPr>
        <w:tc>
          <w:tcPr>
            <w:tcW w:w="2718" w:type="dxa"/>
          </w:tcPr>
          <w:p w:rsidR="0022566B" w:rsidRPr="002B16FA" w:rsidRDefault="0022566B" w:rsidP="00933951">
            <w:pPr>
              <w:rPr>
                <w:b/>
              </w:rPr>
            </w:pPr>
            <w:r>
              <w:rPr>
                <w:b/>
              </w:rPr>
              <w:t>Team Member</w:t>
            </w:r>
          </w:p>
        </w:tc>
        <w:tc>
          <w:tcPr>
            <w:tcW w:w="7020" w:type="dxa"/>
          </w:tcPr>
          <w:p w:rsidR="0022566B" w:rsidRPr="002B16FA" w:rsidRDefault="00112380" w:rsidP="00933951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</w:tc>
      </w:tr>
      <w:tr w:rsidR="0022566B" w:rsidRPr="000774D3" w:rsidTr="00112380">
        <w:tc>
          <w:tcPr>
            <w:tcW w:w="2718" w:type="dxa"/>
          </w:tcPr>
          <w:p w:rsidR="0022566B" w:rsidRPr="002B16FA" w:rsidRDefault="0022566B" w:rsidP="00933951">
            <w:r>
              <w:t>Subject Matter Experts</w:t>
            </w:r>
          </w:p>
        </w:tc>
        <w:tc>
          <w:tcPr>
            <w:tcW w:w="7020" w:type="dxa"/>
          </w:tcPr>
          <w:p w:rsidR="0022566B" w:rsidRPr="002B16FA" w:rsidRDefault="00112380" w:rsidP="00933951">
            <w:r>
              <w:t>Provides content expertise</w:t>
            </w:r>
            <w:r w:rsidR="00260F59">
              <w:t xml:space="preserve"> and reviews training materials</w:t>
            </w:r>
            <w:r>
              <w:t xml:space="preserve"> during the development of the </w:t>
            </w:r>
            <w:r w:rsidR="00954B33">
              <w:t>design proof, alpha, and b</w:t>
            </w:r>
            <w:r>
              <w:t>eta versions</w:t>
            </w:r>
            <w:r w:rsidR="004116A3">
              <w:t>. The lead Subject Matter Expert approves the design proof.</w:t>
            </w:r>
          </w:p>
        </w:tc>
      </w:tr>
      <w:tr w:rsidR="0022566B" w:rsidRPr="000774D3" w:rsidTr="00112380">
        <w:tc>
          <w:tcPr>
            <w:tcW w:w="2718" w:type="dxa"/>
          </w:tcPr>
          <w:p w:rsidR="0022566B" w:rsidRPr="002B16FA" w:rsidRDefault="0022566B" w:rsidP="00933951">
            <w:r>
              <w:t>Project Manager</w:t>
            </w:r>
          </w:p>
        </w:tc>
        <w:tc>
          <w:tcPr>
            <w:tcW w:w="7020" w:type="dxa"/>
          </w:tcPr>
          <w:p w:rsidR="0022566B" w:rsidRPr="002B16FA" w:rsidRDefault="0022566B" w:rsidP="00933951">
            <w:r>
              <w:t>Coordinates and lead</w:t>
            </w:r>
            <w:r w:rsidR="00112380">
              <w:t>s</w:t>
            </w:r>
            <w:r>
              <w:t xml:space="preserve"> all team meetings. Creates </w:t>
            </w:r>
            <w:r w:rsidR="00112380">
              <w:t>and maintains the project plan. Ensures that project time</w:t>
            </w:r>
            <w:r w:rsidR="00954B33">
              <w:t>line</w:t>
            </w:r>
            <w:r w:rsidR="00112380">
              <w:t xml:space="preserve">s are </w:t>
            </w:r>
            <w:r w:rsidR="00260F59">
              <w:t>met.</w:t>
            </w:r>
          </w:p>
        </w:tc>
      </w:tr>
      <w:tr w:rsidR="00260F59" w:rsidRPr="000774D3" w:rsidTr="00112380">
        <w:tc>
          <w:tcPr>
            <w:tcW w:w="2718" w:type="dxa"/>
          </w:tcPr>
          <w:p w:rsidR="00260F59" w:rsidRDefault="00260F59" w:rsidP="00933951">
            <w:r>
              <w:t>Instructional Designer</w:t>
            </w:r>
          </w:p>
        </w:tc>
        <w:tc>
          <w:tcPr>
            <w:tcW w:w="7020" w:type="dxa"/>
          </w:tcPr>
          <w:p w:rsidR="00260F59" w:rsidRDefault="004116A3" w:rsidP="00933951">
            <w:r>
              <w:t>Provides instructional design expertise for the project. Creates the design proof.</w:t>
            </w:r>
          </w:p>
        </w:tc>
      </w:tr>
      <w:tr w:rsidR="00260F59" w:rsidRPr="000774D3" w:rsidTr="00112380">
        <w:tc>
          <w:tcPr>
            <w:tcW w:w="2718" w:type="dxa"/>
          </w:tcPr>
          <w:p w:rsidR="00260F59" w:rsidRDefault="00260F59" w:rsidP="00933951">
            <w:r>
              <w:t>Graphic Artist</w:t>
            </w:r>
          </w:p>
        </w:tc>
        <w:tc>
          <w:tcPr>
            <w:tcW w:w="7020" w:type="dxa"/>
          </w:tcPr>
          <w:p w:rsidR="00260F59" w:rsidRDefault="00260F59" w:rsidP="00933951">
            <w:r>
              <w:t xml:space="preserve">Creates </w:t>
            </w:r>
            <w:r w:rsidR="00902648">
              <w:t>any graphical elements needed as part of the solution.</w:t>
            </w:r>
          </w:p>
        </w:tc>
      </w:tr>
      <w:tr w:rsidR="00260F59" w:rsidRPr="000774D3" w:rsidTr="00112380">
        <w:tc>
          <w:tcPr>
            <w:tcW w:w="2718" w:type="dxa"/>
          </w:tcPr>
          <w:p w:rsidR="00260F59" w:rsidRDefault="00260F59" w:rsidP="00933951">
            <w:r>
              <w:t>Course Development</w:t>
            </w:r>
          </w:p>
        </w:tc>
        <w:tc>
          <w:tcPr>
            <w:tcW w:w="7020" w:type="dxa"/>
          </w:tcPr>
          <w:p w:rsidR="00260F59" w:rsidRDefault="004116A3" w:rsidP="00933951">
            <w:r>
              <w:t>Develops the A</w:t>
            </w:r>
            <w:r w:rsidR="00954B33">
              <w:t>l</w:t>
            </w:r>
            <w:r>
              <w:t>pha, Beta, and Gold version</w:t>
            </w:r>
            <w:r w:rsidR="00954B33">
              <w:t>s</w:t>
            </w:r>
            <w:r>
              <w:t xml:space="preserve"> of the course based on </w:t>
            </w:r>
            <w:r w:rsidR="00954B33">
              <w:t>the design proof and incorporating feedback from subject matter experts.</w:t>
            </w:r>
          </w:p>
        </w:tc>
      </w:tr>
    </w:tbl>
    <w:p w:rsidR="00954B33" w:rsidRDefault="00954B33" w:rsidP="0014141D">
      <w:pPr>
        <w:spacing w:line="480" w:lineRule="auto"/>
        <w:jc w:val="center"/>
        <w:rPr>
          <w:b/>
        </w:rPr>
      </w:pPr>
    </w:p>
    <w:p w:rsidR="00B14BB5" w:rsidRDefault="00A22C68" w:rsidP="0014141D">
      <w:pPr>
        <w:spacing w:line="480" w:lineRule="auto"/>
        <w:jc w:val="center"/>
        <w:rPr>
          <w:b/>
        </w:rPr>
      </w:pPr>
      <w:r>
        <w:rPr>
          <w:b/>
        </w:rPr>
        <w:t>Roll-</w:t>
      </w:r>
      <w:r w:rsidR="00271959">
        <w:rPr>
          <w:b/>
        </w:rPr>
        <w:t>Out Plan</w:t>
      </w:r>
    </w:p>
    <w:p w:rsidR="00271959" w:rsidRDefault="00A22C68" w:rsidP="00271959">
      <w:pPr>
        <w:spacing w:line="480" w:lineRule="auto"/>
        <w:ind w:firstLine="720"/>
      </w:pPr>
      <w:r>
        <w:t xml:space="preserve">Project development </w:t>
      </w:r>
      <w:r w:rsidR="007E4D7D">
        <w:t>for each module will t</w:t>
      </w:r>
      <w:r w:rsidR="00516EAB">
        <w:t>ake approximately seven</w:t>
      </w:r>
      <w:r w:rsidR="007E4D7D">
        <w:t xml:space="preserve"> weeks. </w:t>
      </w:r>
      <w:r w:rsidR="00AC4ED2">
        <w:t xml:space="preserve">Each </w:t>
      </w:r>
      <w:r w:rsidR="007E4D7D">
        <w:t>individual module</w:t>
      </w:r>
      <w:r w:rsidR="00AC4ED2">
        <w:t xml:space="preserve"> will have a separate individual roll-out plan</w:t>
      </w:r>
      <w:r w:rsidR="00271959">
        <w:t>. T</w:t>
      </w:r>
      <w:r>
        <w:t xml:space="preserve">able </w:t>
      </w:r>
      <w:r w:rsidR="00AB386E">
        <w:t>3</w:t>
      </w:r>
      <w:r w:rsidR="007E4D7D">
        <w:t xml:space="preserve"> details a sample</w:t>
      </w:r>
      <w:r w:rsidR="00271959">
        <w:t xml:space="preserve"> </w:t>
      </w:r>
      <w:r w:rsidR="00F22AC4">
        <w:t>roll-out plan for</w:t>
      </w:r>
      <w:r w:rsidR="007E4D7D">
        <w:t xml:space="preserve"> a single module</w:t>
      </w:r>
      <w:r w:rsidR="00271959">
        <w:t>.</w:t>
      </w:r>
    </w:p>
    <w:p w:rsidR="00271959" w:rsidRPr="0022566B" w:rsidRDefault="00F22AC4" w:rsidP="00271959">
      <w:pPr>
        <w:jc w:val="both"/>
        <w:rPr>
          <w:u w:val="single"/>
        </w:rPr>
      </w:pPr>
      <w:r>
        <w:t xml:space="preserve">Table </w:t>
      </w:r>
      <w:r w:rsidR="00AB386E">
        <w:t>3</w:t>
      </w:r>
    </w:p>
    <w:p w:rsidR="00271959" w:rsidRPr="0022566B" w:rsidRDefault="00271959" w:rsidP="00271959">
      <w:pPr>
        <w:jc w:val="both"/>
        <w:rPr>
          <w:b/>
          <w:i/>
        </w:rPr>
      </w:pPr>
      <w:r w:rsidRPr="0022566B">
        <w:rPr>
          <w:i/>
        </w:rPr>
        <w:t xml:space="preserve">AggregateSpend360 eLearning Replacement Project </w:t>
      </w:r>
      <w:r w:rsidR="00F22AC4">
        <w:rPr>
          <w:i/>
        </w:rPr>
        <w:t>Roll-Out Plan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248"/>
        <w:gridCol w:w="3330"/>
        <w:gridCol w:w="1800"/>
      </w:tblGrid>
      <w:tr w:rsidR="007E4D7D" w:rsidTr="007E4D7D">
        <w:trPr>
          <w:trHeight w:val="224"/>
        </w:trPr>
        <w:tc>
          <w:tcPr>
            <w:tcW w:w="4248" w:type="dxa"/>
          </w:tcPr>
          <w:p w:rsidR="007E4D7D" w:rsidRPr="002B16FA" w:rsidRDefault="007E4D7D" w:rsidP="00933951">
            <w:pPr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3330" w:type="dxa"/>
          </w:tcPr>
          <w:p w:rsidR="007E4D7D" w:rsidRDefault="007E4D7D" w:rsidP="00933951">
            <w:pPr>
              <w:rPr>
                <w:b/>
              </w:rPr>
            </w:pPr>
            <w:r>
              <w:rPr>
                <w:b/>
              </w:rPr>
              <w:t>Responsible Team Members</w:t>
            </w:r>
          </w:p>
        </w:tc>
        <w:tc>
          <w:tcPr>
            <w:tcW w:w="1800" w:type="dxa"/>
          </w:tcPr>
          <w:p w:rsidR="007E4D7D" w:rsidRPr="002B16FA" w:rsidRDefault="007E4D7D" w:rsidP="0093395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Pr="002B16FA" w:rsidRDefault="007E4D7D" w:rsidP="00933951">
            <w:r>
              <w:t>Design</w:t>
            </w:r>
          </w:p>
        </w:tc>
        <w:tc>
          <w:tcPr>
            <w:tcW w:w="3330" w:type="dxa"/>
          </w:tcPr>
          <w:p w:rsidR="007E4D7D" w:rsidRPr="002B16FA" w:rsidRDefault="007E4D7D" w:rsidP="00F22AC4">
            <w:r>
              <w:t>Instructional Designer, Subject Matter Experts</w:t>
            </w:r>
          </w:p>
        </w:tc>
        <w:tc>
          <w:tcPr>
            <w:tcW w:w="1800" w:type="dxa"/>
          </w:tcPr>
          <w:p w:rsidR="007E4D7D" w:rsidRPr="002B16FA" w:rsidRDefault="007E4D7D" w:rsidP="00933951">
            <w:r>
              <w:t>10 days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Pr="002B16FA" w:rsidRDefault="007E4D7D" w:rsidP="00933951">
            <w:r>
              <w:t>Prototype</w:t>
            </w:r>
          </w:p>
        </w:tc>
        <w:tc>
          <w:tcPr>
            <w:tcW w:w="3330" w:type="dxa"/>
          </w:tcPr>
          <w:p w:rsidR="007E4D7D" w:rsidRPr="002B16FA" w:rsidRDefault="007E4D7D" w:rsidP="00933951">
            <w:r>
              <w:t>Course Developer</w:t>
            </w:r>
          </w:p>
        </w:tc>
        <w:tc>
          <w:tcPr>
            <w:tcW w:w="1800" w:type="dxa"/>
          </w:tcPr>
          <w:p w:rsidR="007E4D7D" w:rsidRPr="002B16FA" w:rsidRDefault="007E4D7D" w:rsidP="00933951">
            <w:r>
              <w:t>5 days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Default="007E4D7D" w:rsidP="00933951">
            <w:r>
              <w:t>Review &amp; Comment on Prototype</w:t>
            </w:r>
          </w:p>
        </w:tc>
        <w:tc>
          <w:tcPr>
            <w:tcW w:w="3330" w:type="dxa"/>
          </w:tcPr>
          <w:p w:rsidR="007E4D7D" w:rsidRDefault="007E4D7D" w:rsidP="00933951">
            <w:r>
              <w:t>Subject Matter Experts</w:t>
            </w:r>
          </w:p>
        </w:tc>
        <w:tc>
          <w:tcPr>
            <w:tcW w:w="1800" w:type="dxa"/>
          </w:tcPr>
          <w:p w:rsidR="007E4D7D" w:rsidRDefault="007E4D7D" w:rsidP="00933951">
            <w:r>
              <w:t>3 days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Default="007E4D7D" w:rsidP="00933951">
            <w:r>
              <w:t>Create Design Proof</w:t>
            </w:r>
          </w:p>
        </w:tc>
        <w:tc>
          <w:tcPr>
            <w:tcW w:w="3330" w:type="dxa"/>
          </w:tcPr>
          <w:p w:rsidR="007E4D7D" w:rsidRDefault="007E4D7D" w:rsidP="00933951">
            <w:r>
              <w:t>Instructional Designer</w:t>
            </w:r>
          </w:p>
        </w:tc>
        <w:tc>
          <w:tcPr>
            <w:tcW w:w="1800" w:type="dxa"/>
          </w:tcPr>
          <w:p w:rsidR="007E4D7D" w:rsidRDefault="007E4D7D" w:rsidP="007E4D7D">
            <w:r>
              <w:t>5 days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Default="007E4D7D" w:rsidP="00933951">
            <w:r>
              <w:t>Review &amp; Comment on Design Proof</w:t>
            </w:r>
          </w:p>
        </w:tc>
        <w:tc>
          <w:tcPr>
            <w:tcW w:w="3330" w:type="dxa"/>
          </w:tcPr>
          <w:p w:rsidR="007E4D7D" w:rsidRDefault="007E4D7D" w:rsidP="00933951">
            <w:r>
              <w:t>Subject Matter Experts</w:t>
            </w:r>
          </w:p>
        </w:tc>
        <w:tc>
          <w:tcPr>
            <w:tcW w:w="1800" w:type="dxa"/>
          </w:tcPr>
          <w:p w:rsidR="007E4D7D" w:rsidRDefault="007E4D7D" w:rsidP="00933951">
            <w:r>
              <w:t>3 days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Default="007E4D7D" w:rsidP="00933951">
            <w:r>
              <w:t>Develop Alpha</w:t>
            </w:r>
          </w:p>
        </w:tc>
        <w:tc>
          <w:tcPr>
            <w:tcW w:w="3330" w:type="dxa"/>
          </w:tcPr>
          <w:p w:rsidR="007E4D7D" w:rsidRDefault="007E4D7D" w:rsidP="00933951">
            <w:r>
              <w:t>Course Developer</w:t>
            </w:r>
          </w:p>
        </w:tc>
        <w:tc>
          <w:tcPr>
            <w:tcW w:w="1800" w:type="dxa"/>
          </w:tcPr>
          <w:p w:rsidR="007E4D7D" w:rsidRDefault="007E4D7D" w:rsidP="00933951">
            <w:r>
              <w:t>5 days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Default="007E4D7D" w:rsidP="00F22AC4">
            <w:r>
              <w:t>Review &amp; Comment on Alpha</w:t>
            </w:r>
          </w:p>
        </w:tc>
        <w:tc>
          <w:tcPr>
            <w:tcW w:w="3330" w:type="dxa"/>
          </w:tcPr>
          <w:p w:rsidR="007E4D7D" w:rsidRDefault="007E4D7D" w:rsidP="00933951">
            <w:r>
              <w:t>Subject Matter Experts</w:t>
            </w:r>
          </w:p>
        </w:tc>
        <w:tc>
          <w:tcPr>
            <w:tcW w:w="1800" w:type="dxa"/>
          </w:tcPr>
          <w:p w:rsidR="007E4D7D" w:rsidRDefault="007E4D7D" w:rsidP="00933951">
            <w:r>
              <w:t>3 days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Default="007E4D7D" w:rsidP="00933951">
            <w:r>
              <w:t>Develop Beta with Alpha feedback</w:t>
            </w:r>
          </w:p>
        </w:tc>
        <w:tc>
          <w:tcPr>
            <w:tcW w:w="3330" w:type="dxa"/>
          </w:tcPr>
          <w:p w:rsidR="007E4D7D" w:rsidRDefault="007E4D7D" w:rsidP="00933951">
            <w:r>
              <w:t>Course Developer</w:t>
            </w:r>
          </w:p>
        </w:tc>
        <w:tc>
          <w:tcPr>
            <w:tcW w:w="1800" w:type="dxa"/>
          </w:tcPr>
          <w:p w:rsidR="007E4D7D" w:rsidRDefault="007E4D7D" w:rsidP="00933951">
            <w:r>
              <w:t>4 days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Default="007E4D7D" w:rsidP="007E4D7D">
            <w:r>
              <w:t>Review &amp; Comment on Beta</w:t>
            </w:r>
          </w:p>
        </w:tc>
        <w:tc>
          <w:tcPr>
            <w:tcW w:w="3330" w:type="dxa"/>
          </w:tcPr>
          <w:p w:rsidR="007E4D7D" w:rsidRDefault="007E4D7D" w:rsidP="00933951">
            <w:r>
              <w:t>Subject Matter Experts</w:t>
            </w:r>
          </w:p>
        </w:tc>
        <w:tc>
          <w:tcPr>
            <w:tcW w:w="1800" w:type="dxa"/>
          </w:tcPr>
          <w:p w:rsidR="007E4D7D" w:rsidRDefault="007E4D7D" w:rsidP="00933951">
            <w:r>
              <w:t>3 days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Default="007E4D7D" w:rsidP="007E4D7D">
            <w:r>
              <w:t>Develop Pilot version with Beta feedback</w:t>
            </w:r>
          </w:p>
        </w:tc>
        <w:tc>
          <w:tcPr>
            <w:tcW w:w="3330" w:type="dxa"/>
          </w:tcPr>
          <w:p w:rsidR="007E4D7D" w:rsidRDefault="007E4D7D" w:rsidP="00933951">
            <w:r>
              <w:t>Course Developer</w:t>
            </w:r>
          </w:p>
        </w:tc>
        <w:tc>
          <w:tcPr>
            <w:tcW w:w="1800" w:type="dxa"/>
          </w:tcPr>
          <w:p w:rsidR="007E4D7D" w:rsidRDefault="007E4D7D" w:rsidP="00933951">
            <w:r>
              <w:t>4 days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Default="007E4D7D" w:rsidP="007E4D7D">
            <w:r>
              <w:lastRenderedPageBreak/>
              <w:t>Pilot</w:t>
            </w:r>
            <w:r w:rsidR="006D7C33">
              <w:t xml:space="preserve"> &amp; LORI evaluation</w:t>
            </w:r>
          </w:p>
        </w:tc>
        <w:tc>
          <w:tcPr>
            <w:tcW w:w="3330" w:type="dxa"/>
          </w:tcPr>
          <w:p w:rsidR="007E4D7D" w:rsidRDefault="007E4D7D" w:rsidP="00933951">
            <w:r>
              <w:t>Pilot Participants</w:t>
            </w:r>
          </w:p>
        </w:tc>
        <w:tc>
          <w:tcPr>
            <w:tcW w:w="1800" w:type="dxa"/>
          </w:tcPr>
          <w:p w:rsidR="007E4D7D" w:rsidRDefault="007E4D7D" w:rsidP="00933951">
            <w:r>
              <w:t>1 day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Default="007E4D7D" w:rsidP="006D7C33">
            <w:r>
              <w:t xml:space="preserve">Develop Gold version </w:t>
            </w:r>
            <w:r w:rsidR="006D7C33">
              <w:t xml:space="preserve">based on </w:t>
            </w:r>
            <w:r w:rsidR="00AC4ED2">
              <w:t>LORI feedback</w:t>
            </w:r>
          </w:p>
        </w:tc>
        <w:tc>
          <w:tcPr>
            <w:tcW w:w="3330" w:type="dxa"/>
          </w:tcPr>
          <w:p w:rsidR="007E4D7D" w:rsidRDefault="007E4D7D" w:rsidP="00933951">
            <w:r>
              <w:t>Course Developer</w:t>
            </w:r>
          </w:p>
        </w:tc>
        <w:tc>
          <w:tcPr>
            <w:tcW w:w="1800" w:type="dxa"/>
          </w:tcPr>
          <w:p w:rsidR="007E4D7D" w:rsidRDefault="00AC4ED2" w:rsidP="00933951">
            <w:r>
              <w:t>3</w:t>
            </w:r>
            <w:r w:rsidR="007E4D7D">
              <w:t xml:space="preserve"> days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Default="007E4D7D" w:rsidP="007E4D7D">
            <w:r>
              <w:t>Test course using the SCORM Cloud</w:t>
            </w:r>
          </w:p>
        </w:tc>
        <w:tc>
          <w:tcPr>
            <w:tcW w:w="3330" w:type="dxa"/>
          </w:tcPr>
          <w:p w:rsidR="007E4D7D" w:rsidRDefault="007E4D7D" w:rsidP="00933951">
            <w:r>
              <w:t>Course Developer</w:t>
            </w:r>
          </w:p>
        </w:tc>
        <w:tc>
          <w:tcPr>
            <w:tcW w:w="1800" w:type="dxa"/>
          </w:tcPr>
          <w:p w:rsidR="007E4D7D" w:rsidRDefault="007E4D7D" w:rsidP="00933951">
            <w:r>
              <w:t>1 day</w:t>
            </w:r>
          </w:p>
        </w:tc>
      </w:tr>
      <w:tr w:rsidR="007E4D7D" w:rsidRPr="000774D3" w:rsidTr="007E4D7D">
        <w:tc>
          <w:tcPr>
            <w:tcW w:w="4248" w:type="dxa"/>
          </w:tcPr>
          <w:p w:rsidR="007E4D7D" w:rsidRDefault="007E4D7D" w:rsidP="007E4D7D">
            <w:r>
              <w:t xml:space="preserve">Deploy </w:t>
            </w:r>
          </w:p>
        </w:tc>
        <w:tc>
          <w:tcPr>
            <w:tcW w:w="3330" w:type="dxa"/>
          </w:tcPr>
          <w:p w:rsidR="007E4D7D" w:rsidRDefault="007E4D7D" w:rsidP="00933951">
            <w:r>
              <w:t>Course Developer</w:t>
            </w:r>
          </w:p>
        </w:tc>
        <w:tc>
          <w:tcPr>
            <w:tcW w:w="1800" w:type="dxa"/>
          </w:tcPr>
          <w:p w:rsidR="007E4D7D" w:rsidRDefault="007E4D7D" w:rsidP="00933951">
            <w:r>
              <w:t>1 day</w:t>
            </w:r>
          </w:p>
        </w:tc>
      </w:tr>
    </w:tbl>
    <w:p w:rsidR="00271959" w:rsidRDefault="00271959" w:rsidP="0014141D">
      <w:pPr>
        <w:spacing w:line="480" w:lineRule="auto"/>
        <w:jc w:val="center"/>
        <w:rPr>
          <w:b/>
        </w:rPr>
      </w:pPr>
    </w:p>
    <w:p w:rsidR="002A297E" w:rsidRDefault="002A297E" w:rsidP="00734BA3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Conclusion</w:t>
      </w:r>
    </w:p>
    <w:p w:rsidR="002B16FA" w:rsidRPr="008A3C62" w:rsidRDefault="008A3C62" w:rsidP="00627517">
      <w:pPr>
        <w:spacing w:line="480" w:lineRule="auto"/>
        <w:ind w:firstLine="720"/>
      </w:pPr>
      <w:r>
        <w:t xml:space="preserve">The current AGS360 eLearning </w:t>
      </w:r>
      <w:r w:rsidR="00734BA3">
        <w:t xml:space="preserve">modules represent an older version of the software as well as being very point and click oriented. </w:t>
      </w:r>
      <w:r w:rsidR="006D7C33">
        <w:t xml:space="preserve">The target audience lives in different time zones which make an online solution the preferred modality. </w:t>
      </w:r>
      <w:r w:rsidR="00734BA3">
        <w:t>This proposal recommends replacing th</w:t>
      </w:r>
      <w:r w:rsidR="00627517">
        <w:t xml:space="preserve">e existing eLearning </w:t>
      </w:r>
      <w:r w:rsidR="00734BA3">
        <w:t xml:space="preserve">modules with new </w:t>
      </w:r>
      <w:r w:rsidR="00627517">
        <w:t xml:space="preserve">modules that are relevant to </w:t>
      </w:r>
      <w:proofErr w:type="spellStart"/>
      <w:r w:rsidR="00627517">
        <w:t>QuintilesIMS</w:t>
      </w:r>
      <w:proofErr w:type="spellEnd"/>
      <w:r w:rsidR="00627517">
        <w:t xml:space="preserve"> client’s</w:t>
      </w:r>
      <w:r w:rsidR="00734BA3">
        <w:t xml:space="preserve"> actual usage of AGS360. </w:t>
      </w:r>
      <w:r w:rsidR="00627517">
        <w:t xml:space="preserve">SAM and </w:t>
      </w:r>
      <w:proofErr w:type="spellStart"/>
      <w:r w:rsidR="00627517">
        <w:t>Gnatt</w:t>
      </w:r>
      <w:proofErr w:type="spellEnd"/>
      <w:r w:rsidR="00627517">
        <w:t xml:space="preserve"> charts are used as the tools for instructional design and project management for this project, respectively. </w:t>
      </w:r>
      <w:r w:rsidR="00734BA3">
        <w:t xml:space="preserve">Each module will take seven weeks to develop. </w:t>
      </w:r>
      <w:r w:rsidR="002947E9">
        <w:t xml:space="preserve">The modules cover the topics of correcting customer expenses, entering customer expenses, entering meeting expenses, and running Federal/National reports. </w:t>
      </w:r>
      <w:r w:rsidR="00734BA3">
        <w:t xml:space="preserve">The project team includes subject matter experts, a project manager, an instructional designer, a graphic artist, and a course developer. </w:t>
      </w:r>
      <w:r w:rsidR="00AC4ED2">
        <w:t>Subject matter experts evaluate each module</w:t>
      </w:r>
      <w:r w:rsidR="00627517">
        <w:t xml:space="preserve"> using a modified version of the LORI rubric</w:t>
      </w:r>
      <w:r w:rsidR="00AC4ED2">
        <w:t xml:space="preserve"> after completion of the pilot.</w:t>
      </w:r>
    </w:p>
    <w:p w:rsidR="000774D3" w:rsidRDefault="000774D3">
      <w:pPr>
        <w:rPr>
          <w:b/>
        </w:rPr>
      </w:pPr>
      <w:r>
        <w:rPr>
          <w:b/>
        </w:rPr>
        <w:br w:type="page"/>
      </w:r>
    </w:p>
    <w:p w:rsidR="00FA009B" w:rsidRDefault="00FA009B">
      <w:pPr>
        <w:rPr>
          <w:b/>
        </w:rPr>
      </w:pPr>
    </w:p>
    <w:p w:rsidR="00642A38" w:rsidRDefault="00642A38" w:rsidP="00642A38">
      <w:pPr>
        <w:spacing w:line="480" w:lineRule="auto"/>
        <w:jc w:val="center"/>
      </w:pPr>
      <w:r w:rsidRPr="00642A38">
        <w:t>References</w:t>
      </w:r>
    </w:p>
    <w:p w:rsidR="005E356D" w:rsidRDefault="005E356D" w:rsidP="008E6EB0">
      <w:pPr>
        <w:spacing w:line="480" w:lineRule="auto"/>
        <w:ind w:left="720" w:hanging="720"/>
      </w:pPr>
      <w:r w:rsidRPr="005E356D">
        <w:t xml:space="preserve">Clark, R. E. (1994). Media will never influence learning. </w:t>
      </w:r>
      <w:r w:rsidRPr="005E356D">
        <w:rPr>
          <w:i/>
        </w:rPr>
        <w:t>Educational Technology Research and Development, 42</w:t>
      </w:r>
      <w:r w:rsidRPr="005E356D">
        <w:t xml:space="preserve">(2), 34-38. Retrieved from </w:t>
      </w:r>
      <w:r w:rsidRPr="00B24F83">
        <w:t>http://web.uconn.edu/myoung/Clark.pdf</w:t>
      </w:r>
    </w:p>
    <w:p w:rsidR="008E6EB0" w:rsidRDefault="008E6EB0" w:rsidP="008E6EB0">
      <w:pPr>
        <w:spacing w:line="480" w:lineRule="auto"/>
        <w:ind w:left="720" w:hanging="720"/>
      </w:pPr>
      <w:proofErr w:type="spellStart"/>
      <w:proofErr w:type="gramStart"/>
      <w:r>
        <w:t>Jonassen</w:t>
      </w:r>
      <w:proofErr w:type="spellEnd"/>
      <w:r>
        <w:t>, D., Davidson, M., Collins, M., Campbell, J., &amp; Haag, B. B. (1995).</w:t>
      </w:r>
      <w:proofErr w:type="gramEnd"/>
      <w:r>
        <w:t xml:space="preserve"> Constructivism and computer-mediated communication in distance education. </w:t>
      </w:r>
      <w:r w:rsidRPr="006C644F">
        <w:rPr>
          <w:i/>
        </w:rPr>
        <w:t>American Journal of Distance Education, 9</w:t>
      </w:r>
      <w:r>
        <w:t>(2), 7-25.</w:t>
      </w:r>
    </w:p>
    <w:p w:rsidR="00AB0018" w:rsidRDefault="00AB0018" w:rsidP="00AB0018">
      <w:pPr>
        <w:spacing w:line="480" w:lineRule="auto"/>
        <w:ind w:left="720" w:hanging="720"/>
      </w:pPr>
      <w:r>
        <w:t>Mayer, R</w:t>
      </w:r>
      <w:r w:rsidR="007644F2">
        <w:t xml:space="preserve">.E. (2009). </w:t>
      </w:r>
      <w:proofErr w:type="gramStart"/>
      <w:r w:rsidRPr="00923B7B">
        <w:rPr>
          <w:i/>
        </w:rPr>
        <w:t>Multimedia learning</w:t>
      </w:r>
      <w:r>
        <w:t>.</w:t>
      </w:r>
      <w:proofErr w:type="gramEnd"/>
      <w:r>
        <w:t xml:space="preserve"> New York: Cambridge University Press.</w:t>
      </w:r>
    </w:p>
    <w:p w:rsidR="005E356D" w:rsidRDefault="005E356D" w:rsidP="00AB0018">
      <w:pPr>
        <w:spacing w:line="480" w:lineRule="auto"/>
        <w:ind w:left="720" w:hanging="720"/>
      </w:pPr>
      <w:proofErr w:type="spellStart"/>
      <w:r w:rsidRPr="005E356D">
        <w:t>Kozma</w:t>
      </w:r>
      <w:proofErr w:type="spellEnd"/>
      <w:r w:rsidRPr="005E356D">
        <w:t xml:space="preserve">, R. B. (1994). Will media influence learning? </w:t>
      </w:r>
      <w:proofErr w:type="gramStart"/>
      <w:r w:rsidRPr="005E356D">
        <w:t>Reframing the debate.</w:t>
      </w:r>
      <w:proofErr w:type="gramEnd"/>
      <w:r w:rsidRPr="005E356D">
        <w:t xml:space="preserve"> </w:t>
      </w:r>
      <w:r w:rsidRPr="005E356D">
        <w:rPr>
          <w:i/>
        </w:rPr>
        <w:t>Educational Technology Research and Development, 42</w:t>
      </w:r>
      <w:r w:rsidRPr="005E356D">
        <w:t>(2), 7-19. Retrieved from http://web.uconn.edu/myoung/Kozma.pdf</w:t>
      </w:r>
    </w:p>
    <w:p w:rsidR="00642A38" w:rsidRDefault="00642A38" w:rsidP="00642A38">
      <w:pPr>
        <w:spacing w:line="480" w:lineRule="auto"/>
        <w:ind w:left="720" w:hanging="720"/>
      </w:pPr>
      <w:proofErr w:type="gramStart"/>
      <w:r>
        <w:t xml:space="preserve">Nesbit, J.C., </w:t>
      </w:r>
      <w:proofErr w:type="spellStart"/>
      <w:r>
        <w:t>Belfer</w:t>
      </w:r>
      <w:proofErr w:type="spellEnd"/>
      <w:r>
        <w:t xml:space="preserve">, K., </w:t>
      </w:r>
      <w:r w:rsidR="00103A6C">
        <w:t>&amp; Leacock, T. (2004).</w:t>
      </w:r>
      <w:proofErr w:type="gramEnd"/>
      <w:r w:rsidR="00103A6C">
        <w:t xml:space="preserve"> Learning object review i</w:t>
      </w:r>
      <w:r>
        <w:t xml:space="preserve">nstrument (LORI). Retrieved from </w:t>
      </w:r>
      <w:r w:rsidR="00671ADF" w:rsidRPr="00671ADF">
        <w:t>http://www.transplantedgoose.net/gradstudies/educ892/LORI1.5.pdf</w:t>
      </w:r>
    </w:p>
    <w:p w:rsidR="007644F2" w:rsidRDefault="007644F2" w:rsidP="007644F2">
      <w:pPr>
        <w:spacing w:line="480" w:lineRule="auto"/>
        <w:ind w:left="720" w:hanging="720"/>
      </w:pPr>
      <w:proofErr w:type="gramStart"/>
      <w:r>
        <w:t xml:space="preserve">Reeves, T.C., &amp; </w:t>
      </w:r>
      <w:proofErr w:type="spellStart"/>
      <w:r>
        <w:t>Hedberg</w:t>
      </w:r>
      <w:proofErr w:type="spellEnd"/>
      <w:r>
        <w:t>, J.G. (2003).</w:t>
      </w:r>
      <w:proofErr w:type="gramEnd"/>
      <w:r>
        <w:t xml:space="preserve"> </w:t>
      </w:r>
      <w:proofErr w:type="gramStart"/>
      <w:r>
        <w:t>Effectiveness evaluation.</w:t>
      </w:r>
      <w:proofErr w:type="gramEnd"/>
      <w:r>
        <w:t xml:space="preserve"> </w:t>
      </w:r>
      <w:proofErr w:type="gramStart"/>
      <w:r>
        <w:t xml:space="preserve">In </w:t>
      </w:r>
      <w:proofErr w:type="spellStart"/>
      <w:r>
        <w:t>T.C.Reeves</w:t>
      </w:r>
      <w:proofErr w:type="spellEnd"/>
      <w:r>
        <w:t xml:space="preserve"> &amp; J.G. </w:t>
      </w:r>
      <w:proofErr w:type="spellStart"/>
      <w:r>
        <w:t>Hedberg</w:t>
      </w:r>
      <w:proofErr w:type="spellEnd"/>
      <w:r>
        <w:t xml:space="preserve">, </w:t>
      </w:r>
      <w:r>
        <w:rPr>
          <w:i/>
        </w:rPr>
        <w:t>Interactive learning systems e</w:t>
      </w:r>
      <w:r w:rsidRPr="00A52AEA">
        <w:rPr>
          <w:i/>
        </w:rPr>
        <w:t>valuation</w:t>
      </w:r>
      <w:r>
        <w:t xml:space="preserve"> (pp. 173-204).</w:t>
      </w:r>
      <w:proofErr w:type="gramEnd"/>
      <w:r>
        <w:t xml:space="preserve"> New Jersey: Englewood Cliffs Educational Technology Publications.</w:t>
      </w:r>
    </w:p>
    <w:p w:rsidR="00ED118E" w:rsidRDefault="005E2C93" w:rsidP="005E2C93">
      <w:pPr>
        <w:spacing w:line="480" w:lineRule="auto"/>
      </w:pPr>
      <w:r>
        <w:t xml:space="preserve">Russell, L. (2000). </w:t>
      </w:r>
      <w:proofErr w:type="gramStart"/>
      <w:r w:rsidRPr="008F0E93">
        <w:rPr>
          <w:i/>
        </w:rPr>
        <w:t>Project management for trainers</w:t>
      </w:r>
      <w:r>
        <w:t>.</w:t>
      </w:r>
      <w:proofErr w:type="gramEnd"/>
      <w:r>
        <w:t xml:space="preserve"> </w:t>
      </w:r>
      <w:r w:rsidR="008F0E93">
        <w:t>Alexandria, VA: ASTD Press.</w:t>
      </w:r>
    </w:p>
    <w:p w:rsidR="00FA009B" w:rsidRPr="00642A38" w:rsidRDefault="00ED118E" w:rsidP="00ED118E">
      <w:pPr>
        <w:spacing w:line="480" w:lineRule="auto"/>
        <w:ind w:left="720" w:hanging="720"/>
      </w:pPr>
      <w:r w:rsidRPr="00594B37">
        <w:t xml:space="preserve">Vaughan, N. D. (2010). </w:t>
      </w:r>
      <w:proofErr w:type="gramStart"/>
      <w:r w:rsidRPr="00ED118E">
        <w:rPr>
          <w:i/>
        </w:rPr>
        <w:t>Blended learning</w:t>
      </w:r>
      <w:r w:rsidRPr="00594B37">
        <w:t>.</w:t>
      </w:r>
      <w:proofErr w:type="gramEnd"/>
      <w:r w:rsidRPr="00594B37">
        <w:t xml:space="preserve"> In M. F. Cleveland-Innes &amp; D. R. Garrison (Eds.), </w:t>
      </w:r>
      <w:proofErr w:type="gramStart"/>
      <w:r w:rsidRPr="00594B37">
        <w:t>An</w:t>
      </w:r>
      <w:proofErr w:type="gramEnd"/>
      <w:r w:rsidRPr="00594B37">
        <w:t xml:space="preserve"> introduction to distance education: Understanding teaching and learning in a new era</w:t>
      </w:r>
      <w:r>
        <w:t xml:space="preserve"> </w:t>
      </w:r>
      <w:r w:rsidRPr="00594B37">
        <w:t xml:space="preserve">(pp. </w:t>
      </w:r>
      <w:r>
        <w:t xml:space="preserve">165-178). New York &amp; London: </w:t>
      </w:r>
      <w:proofErr w:type="spellStart"/>
      <w:r>
        <w:t>Routledge</w:t>
      </w:r>
      <w:proofErr w:type="spellEnd"/>
      <w:r>
        <w:t>.</w:t>
      </w:r>
    </w:p>
    <w:sectPr w:rsidR="00FA009B" w:rsidRPr="00642A38" w:rsidSect="00921778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5F" w:rsidRDefault="0042025F" w:rsidP="00921778">
      <w:pPr>
        <w:spacing w:after="0" w:line="240" w:lineRule="auto"/>
      </w:pPr>
      <w:r>
        <w:separator/>
      </w:r>
    </w:p>
  </w:endnote>
  <w:endnote w:type="continuationSeparator" w:id="0">
    <w:p w:rsidR="0042025F" w:rsidRDefault="0042025F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5F" w:rsidRDefault="0042025F" w:rsidP="00921778">
      <w:pPr>
        <w:spacing w:after="0" w:line="240" w:lineRule="auto"/>
      </w:pPr>
      <w:r>
        <w:separator/>
      </w:r>
    </w:p>
  </w:footnote>
  <w:footnote w:type="continuationSeparator" w:id="0">
    <w:p w:rsidR="0042025F" w:rsidRDefault="0042025F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5F" w:rsidRDefault="007644F2" w:rsidP="007644F2">
    <w:pPr>
      <w:spacing w:line="480" w:lineRule="auto"/>
    </w:pPr>
    <w:r>
      <w:t>PROPOSAL FOR AGGREGATESPEND360 ELEARNING REPLACEME</w:t>
    </w:r>
    <w:r w:rsidR="0042025F">
      <w:tab/>
    </w:r>
    <w:r w:rsidR="0042025F">
      <w:tab/>
    </w:r>
    <w:r w:rsidR="0042025F">
      <w:fldChar w:fldCharType="begin"/>
    </w:r>
    <w:r w:rsidR="0042025F">
      <w:instrText xml:space="preserve"> PAGE   \* MERGEFORMAT </w:instrText>
    </w:r>
    <w:r w:rsidR="0042025F">
      <w:fldChar w:fldCharType="separate"/>
    </w:r>
    <w:r w:rsidR="00A9685A">
      <w:rPr>
        <w:noProof/>
      </w:rPr>
      <w:t>9</w:t>
    </w:r>
    <w:r w:rsidR="0042025F">
      <w:rPr>
        <w:noProof/>
      </w:rPr>
      <w:fldChar w:fldCharType="end"/>
    </w:r>
  </w:p>
  <w:p w:rsidR="0042025F" w:rsidRDefault="00420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5F" w:rsidRDefault="0042025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C67"/>
    <w:multiLevelType w:val="hybridMultilevel"/>
    <w:tmpl w:val="F560E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706BE"/>
    <w:multiLevelType w:val="hybridMultilevel"/>
    <w:tmpl w:val="E2FEC05E"/>
    <w:lvl w:ilvl="0" w:tplc="9D962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570"/>
    <w:multiLevelType w:val="hybridMultilevel"/>
    <w:tmpl w:val="E2FEC05E"/>
    <w:lvl w:ilvl="0" w:tplc="9D962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1B83"/>
    <w:multiLevelType w:val="multilevel"/>
    <w:tmpl w:val="661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A6EF8"/>
    <w:multiLevelType w:val="hybridMultilevel"/>
    <w:tmpl w:val="E2FEC05E"/>
    <w:lvl w:ilvl="0" w:tplc="9D962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C08A7"/>
    <w:multiLevelType w:val="hybridMultilevel"/>
    <w:tmpl w:val="59AC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40BA1"/>
    <w:multiLevelType w:val="hybridMultilevel"/>
    <w:tmpl w:val="BF083E2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BB2CAE"/>
    <w:multiLevelType w:val="hybridMultilevel"/>
    <w:tmpl w:val="73C00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006BD"/>
    <w:rsid w:val="00010584"/>
    <w:rsid w:val="00016C66"/>
    <w:rsid w:val="00061602"/>
    <w:rsid w:val="000774D3"/>
    <w:rsid w:val="000865A4"/>
    <w:rsid w:val="000D04DC"/>
    <w:rsid w:val="000F1194"/>
    <w:rsid w:val="00103A6C"/>
    <w:rsid w:val="00104C02"/>
    <w:rsid w:val="00112380"/>
    <w:rsid w:val="001272E5"/>
    <w:rsid w:val="00136DDE"/>
    <w:rsid w:val="0014141D"/>
    <w:rsid w:val="00173B49"/>
    <w:rsid w:val="00184194"/>
    <w:rsid w:val="00191062"/>
    <w:rsid w:val="001931D7"/>
    <w:rsid w:val="001B034B"/>
    <w:rsid w:val="001B45C2"/>
    <w:rsid w:val="00214CC8"/>
    <w:rsid w:val="002203B3"/>
    <w:rsid w:val="0022566B"/>
    <w:rsid w:val="00230231"/>
    <w:rsid w:val="002428AF"/>
    <w:rsid w:val="00247E5F"/>
    <w:rsid w:val="00260F59"/>
    <w:rsid w:val="00271959"/>
    <w:rsid w:val="0027683C"/>
    <w:rsid w:val="00281787"/>
    <w:rsid w:val="00290C1E"/>
    <w:rsid w:val="002947E9"/>
    <w:rsid w:val="002A297E"/>
    <w:rsid w:val="002B16FA"/>
    <w:rsid w:val="002C770A"/>
    <w:rsid w:val="002D7846"/>
    <w:rsid w:val="002E5038"/>
    <w:rsid w:val="00345220"/>
    <w:rsid w:val="00352AC9"/>
    <w:rsid w:val="00352C61"/>
    <w:rsid w:val="003901DA"/>
    <w:rsid w:val="003A3521"/>
    <w:rsid w:val="003A6379"/>
    <w:rsid w:val="003B45C7"/>
    <w:rsid w:val="003D08A1"/>
    <w:rsid w:val="003E7AF7"/>
    <w:rsid w:val="003F0489"/>
    <w:rsid w:val="004116A3"/>
    <w:rsid w:val="0042025F"/>
    <w:rsid w:val="00423070"/>
    <w:rsid w:val="00440F1A"/>
    <w:rsid w:val="00464694"/>
    <w:rsid w:val="00471C7F"/>
    <w:rsid w:val="00477D67"/>
    <w:rsid w:val="004D1822"/>
    <w:rsid w:val="004D5540"/>
    <w:rsid w:val="004F7FF6"/>
    <w:rsid w:val="00512985"/>
    <w:rsid w:val="00516EAB"/>
    <w:rsid w:val="005667ED"/>
    <w:rsid w:val="00577137"/>
    <w:rsid w:val="005E2C93"/>
    <w:rsid w:val="005E356D"/>
    <w:rsid w:val="005E5320"/>
    <w:rsid w:val="005F51D6"/>
    <w:rsid w:val="0061422C"/>
    <w:rsid w:val="00627517"/>
    <w:rsid w:val="0063192B"/>
    <w:rsid w:val="00633EFC"/>
    <w:rsid w:val="00642A38"/>
    <w:rsid w:val="006440D8"/>
    <w:rsid w:val="00660192"/>
    <w:rsid w:val="00671ADF"/>
    <w:rsid w:val="00695209"/>
    <w:rsid w:val="006A3BA9"/>
    <w:rsid w:val="006D3F95"/>
    <w:rsid w:val="006D7C33"/>
    <w:rsid w:val="00711379"/>
    <w:rsid w:val="00734BA3"/>
    <w:rsid w:val="00741887"/>
    <w:rsid w:val="007523AF"/>
    <w:rsid w:val="007644F2"/>
    <w:rsid w:val="007A4D36"/>
    <w:rsid w:val="007A67C2"/>
    <w:rsid w:val="007B1BBE"/>
    <w:rsid w:val="007D296F"/>
    <w:rsid w:val="007E2319"/>
    <w:rsid w:val="007E4D7D"/>
    <w:rsid w:val="007F2629"/>
    <w:rsid w:val="00811D18"/>
    <w:rsid w:val="00813147"/>
    <w:rsid w:val="00815E13"/>
    <w:rsid w:val="00825056"/>
    <w:rsid w:val="00875529"/>
    <w:rsid w:val="00882D6D"/>
    <w:rsid w:val="0088719A"/>
    <w:rsid w:val="008A3C62"/>
    <w:rsid w:val="008E4762"/>
    <w:rsid w:val="008E6EB0"/>
    <w:rsid w:val="008F0E93"/>
    <w:rsid w:val="0090183D"/>
    <w:rsid w:val="00902648"/>
    <w:rsid w:val="00902B19"/>
    <w:rsid w:val="00921778"/>
    <w:rsid w:val="00954B33"/>
    <w:rsid w:val="00982172"/>
    <w:rsid w:val="009A7F8D"/>
    <w:rsid w:val="009B2AC1"/>
    <w:rsid w:val="009D0F40"/>
    <w:rsid w:val="009E60E1"/>
    <w:rsid w:val="00A0723B"/>
    <w:rsid w:val="00A22C68"/>
    <w:rsid w:val="00A23A0E"/>
    <w:rsid w:val="00A44FE8"/>
    <w:rsid w:val="00A460FC"/>
    <w:rsid w:val="00A60AF4"/>
    <w:rsid w:val="00A647DD"/>
    <w:rsid w:val="00A9685A"/>
    <w:rsid w:val="00AA506B"/>
    <w:rsid w:val="00AB0018"/>
    <w:rsid w:val="00AB386E"/>
    <w:rsid w:val="00AC4ED2"/>
    <w:rsid w:val="00AE07ED"/>
    <w:rsid w:val="00AE74CD"/>
    <w:rsid w:val="00B010F7"/>
    <w:rsid w:val="00B14BB5"/>
    <w:rsid w:val="00B236D8"/>
    <w:rsid w:val="00B24F83"/>
    <w:rsid w:val="00B25CEA"/>
    <w:rsid w:val="00B36DE9"/>
    <w:rsid w:val="00B37F6D"/>
    <w:rsid w:val="00B56623"/>
    <w:rsid w:val="00B56D51"/>
    <w:rsid w:val="00B6676F"/>
    <w:rsid w:val="00B70532"/>
    <w:rsid w:val="00BE3745"/>
    <w:rsid w:val="00C570BD"/>
    <w:rsid w:val="00C6536B"/>
    <w:rsid w:val="00C800FC"/>
    <w:rsid w:val="00C81154"/>
    <w:rsid w:val="00C87E84"/>
    <w:rsid w:val="00C9588B"/>
    <w:rsid w:val="00CB3D7F"/>
    <w:rsid w:val="00CF3684"/>
    <w:rsid w:val="00D04D62"/>
    <w:rsid w:val="00D350E5"/>
    <w:rsid w:val="00D474B4"/>
    <w:rsid w:val="00D56705"/>
    <w:rsid w:val="00D85503"/>
    <w:rsid w:val="00DB3C5E"/>
    <w:rsid w:val="00DC5049"/>
    <w:rsid w:val="00DF2C5B"/>
    <w:rsid w:val="00E05A42"/>
    <w:rsid w:val="00E2391B"/>
    <w:rsid w:val="00E33854"/>
    <w:rsid w:val="00E34262"/>
    <w:rsid w:val="00E345BA"/>
    <w:rsid w:val="00E47738"/>
    <w:rsid w:val="00E5435F"/>
    <w:rsid w:val="00E90DF4"/>
    <w:rsid w:val="00EA06B9"/>
    <w:rsid w:val="00EC1EC6"/>
    <w:rsid w:val="00ED118E"/>
    <w:rsid w:val="00EF0E06"/>
    <w:rsid w:val="00F13BAD"/>
    <w:rsid w:val="00F154E2"/>
    <w:rsid w:val="00F15E29"/>
    <w:rsid w:val="00F22AC4"/>
    <w:rsid w:val="00F23325"/>
    <w:rsid w:val="00F86A13"/>
    <w:rsid w:val="00F93932"/>
    <w:rsid w:val="00FA009B"/>
    <w:rsid w:val="00FA3CFD"/>
    <w:rsid w:val="00FA432F"/>
    <w:rsid w:val="00FD7F6F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scoswrapper">
    <w:name w:val="hs_cos_wrapper"/>
    <w:basedOn w:val="DefaultParagraphFont"/>
    <w:rsid w:val="00230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scoswrapper">
    <w:name w:val="hs_cos_wrapper"/>
    <w:basedOn w:val="DefaultParagraphFont"/>
    <w:rsid w:val="00230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0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62C9-3E79-4D70-89B6-6EE1623A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9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Home</cp:lastModifiedBy>
  <cp:revision>56</cp:revision>
  <cp:lastPrinted>2016-11-07T04:05:00Z</cp:lastPrinted>
  <dcterms:created xsi:type="dcterms:W3CDTF">2016-11-05T16:56:00Z</dcterms:created>
  <dcterms:modified xsi:type="dcterms:W3CDTF">2016-11-28T01:04:00Z</dcterms:modified>
</cp:coreProperties>
</file>