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F35C1F" w:rsidRPr="008E592C" w:rsidTr="005E7BEF">
        <w:tc>
          <w:tcPr>
            <w:tcW w:w="2898" w:type="dxa"/>
          </w:tcPr>
          <w:p w:rsidR="00F35C1F" w:rsidRDefault="00F35C1F" w:rsidP="005E7BEF">
            <w:pPr>
              <w:pStyle w:val="Heading2"/>
              <w:outlineLvl w:val="1"/>
            </w:pPr>
            <w:r>
              <w:t>Entry Title (Number)</w:t>
            </w:r>
          </w:p>
        </w:tc>
        <w:tc>
          <w:tcPr>
            <w:tcW w:w="6678" w:type="dxa"/>
          </w:tcPr>
          <w:p w:rsidR="00F35C1F" w:rsidRPr="008E592C" w:rsidRDefault="00F41952" w:rsidP="005E7BEF">
            <w:pPr>
              <w:pStyle w:val="Heading2"/>
              <w:outlineLvl w:val="1"/>
              <w:rPr>
                <w:b w:val="0"/>
              </w:rPr>
            </w:pPr>
            <w:r>
              <w:rPr>
                <w:b w:val="0"/>
                <w:color w:val="000000" w:themeColor="text1"/>
              </w:rPr>
              <w:t>Final Reflections</w:t>
            </w:r>
            <w:r w:rsidR="00F35C1F">
              <w:rPr>
                <w:b w:val="0"/>
                <w:color w:val="000000" w:themeColor="text1"/>
              </w:rPr>
              <w:t xml:space="preserve"> </w:t>
            </w:r>
            <w:r w:rsidR="00F35C1F">
              <w:rPr>
                <w:b w:val="0"/>
                <w:color w:val="000000" w:themeColor="text1"/>
              </w:rPr>
              <w:t>(#8</w:t>
            </w:r>
            <w:r w:rsidR="00F35C1F">
              <w:rPr>
                <w:b w:val="0"/>
                <w:color w:val="000000" w:themeColor="text1"/>
              </w:rPr>
              <w:t>)</w:t>
            </w:r>
          </w:p>
        </w:tc>
      </w:tr>
      <w:tr w:rsidR="00F35C1F" w:rsidRPr="008E592C" w:rsidTr="005E7BEF">
        <w:tc>
          <w:tcPr>
            <w:tcW w:w="2898" w:type="dxa"/>
          </w:tcPr>
          <w:p w:rsidR="00F35C1F" w:rsidRDefault="00F35C1F" w:rsidP="005E7BEF">
            <w:pPr>
              <w:pStyle w:val="Heading2"/>
              <w:outlineLvl w:val="1"/>
            </w:pPr>
            <w:r>
              <w:t>Date</w:t>
            </w:r>
          </w:p>
        </w:tc>
        <w:tc>
          <w:tcPr>
            <w:tcW w:w="6678" w:type="dxa"/>
          </w:tcPr>
          <w:p w:rsidR="00F35C1F" w:rsidRPr="008E592C" w:rsidRDefault="00F35C1F" w:rsidP="005E7BEF">
            <w:pPr>
              <w:pStyle w:val="Heading2"/>
              <w:outlineLvl w:val="1"/>
              <w:rPr>
                <w:b w:val="0"/>
                <w:color w:val="000000" w:themeColor="text1"/>
              </w:rPr>
            </w:pPr>
            <w:r>
              <w:rPr>
                <w:b w:val="0"/>
                <w:color w:val="000000" w:themeColor="text1"/>
              </w:rPr>
              <w:t>17</w:t>
            </w:r>
            <w:r>
              <w:rPr>
                <w:b w:val="0"/>
                <w:color w:val="000000" w:themeColor="text1"/>
              </w:rPr>
              <w:t>-Apr-2015</w:t>
            </w:r>
          </w:p>
        </w:tc>
      </w:tr>
      <w:tr w:rsidR="00F35C1F" w:rsidRPr="008E592C" w:rsidTr="005E7BEF">
        <w:tc>
          <w:tcPr>
            <w:tcW w:w="2898" w:type="dxa"/>
          </w:tcPr>
          <w:p w:rsidR="00F35C1F" w:rsidRDefault="00F35C1F" w:rsidP="005E7BEF">
            <w:pPr>
              <w:pStyle w:val="Heading2"/>
              <w:outlineLvl w:val="1"/>
            </w:pPr>
            <w:r>
              <w:t>Course/Module</w:t>
            </w:r>
          </w:p>
        </w:tc>
        <w:tc>
          <w:tcPr>
            <w:tcW w:w="6678" w:type="dxa"/>
          </w:tcPr>
          <w:p w:rsidR="00F35C1F" w:rsidRPr="008E592C" w:rsidRDefault="00F35C1F" w:rsidP="00F35C1F">
            <w:pPr>
              <w:pStyle w:val="Heading2"/>
              <w:outlineLvl w:val="1"/>
              <w:rPr>
                <w:b w:val="0"/>
                <w:color w:val="000000" w:themeColor="text1"/>
              </w:rPr>
            </w:pPr>
            <w:r>
              <w:rPr>
                <w:b w:val="0"/>
                <w:color w:val="000000" w:themeColor="text1"/>
              </w:rPr>
              <w:t xml:space="preserve">OMDE606, </w:t>
            </w:r>
            <w:r>
              <w:rPr>
                <w:b w:val="0"/>
                <w:color w:val="000000" w:themeColor="text1"/>
              </w:rPr>
              <w:t>Web 2.0</w:t>
            </w:r>
          </w:p>
        </w:tc>
      </w:tr>
    </w:tbl>
    <w:p w:rsidR="00F35C1F" w:rsidRPr="00B4768C" w:rsidRDefault="00F35C1F" w:rsidP="00F35C1F">
      <w:pPr>
        <w:rPr>
          <w:rFonts w:asciiTheme="minorHAnsi" w:hAnsiTheme="minorHAnsi" w:cstheme="minorHAnsi"/>
          <w:bCs/>
        </w:rPr>
      </w:pPr>
    </w:p>
    <w:p w:rsidR="00F35C1F" w:rsidRDefault="00760A5B" w:rsidP="00F35C1F">
      <w:pPr>
        <w:rPr>
          <w:rFonts w:asciiTheme="minorHAnsi" w:hAnsiTheme="minorHAnsi" w:cstheme="minorHAnsi"/>
          <w:bCs/>
        </w:rPr>
      </w:pPr>
      <w:r>
        <w:rPr>
          <w:rFonts w:asciiTheme="minorHAnsi" w:hAnsiTheme="minorHAnsi" w:cstheme="minorHAnsi"/>
          <w:bCs/>
          <w:noProof/>
        </w:rPr>
        <w:drawing>
          <wp:inline distT="0" distB="0" distL="0" distR="0">
            <wp:extent cx="2971800" cy="22311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os_1282239_861915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800" cy="2231136"/>
                    </a:xfrm>
                    <a:prstGeom prst="rect">
                      <a:avLst/>
                    </a:prstGeom>
                  </pic:spPr>
                </pic:pic>
              </a:graphicData>
            </a:graphic>
          </wp:inline>
        </w:drawing>
      </w:r>
    </w:p>
    <w:p w:rsidR="00120F5B" w:rsidRDefault="0035754A" w:rsidP="00F35C1F">
      <w:pPr>
        <w:rPr>
          <w:rFonts w:asciiTheme="minorHAnsi" w:hAnsiTheme="minorHAnsi" w:cstheme="minorHAnsi"/>
          <w:bCs/>
        </w:rPr>
      </w:pPr>
      <w:bookmarkStart w:id="0" w:name="_GoBack"/>
      <w:r>
        <w:rPr>
          <w:rFonts w:asciiTheme="minorHAnsi" w:hAnsiTheme="minorHAnsi" w:cstheme="minorHAnsi"/>
          <w:bCs/>
        </w:rPr>
        <w:t>Like every other semester of the MDE program, it seems like I’m registering for my class, blink my eyes and the</w:t>
      </w:r>
      <w:r w:rsidR="00B4626F">
        <w:rPr>
          <w:rFonts w:asciiTheme="minorHAnsi" w:hAnsiTheme="minorHAnsi" w:cstheme="minorHAnsi"/>
          <w:bCs/>
        </w:rPr>
        <w:t xml:space="preserve"> course is over. This semester wa</w:t>
      </w:r>
      <w:r>
        <w:rPr>
          <w:rFonts w:asciiTheme="minorHAnsi" w:hAnsiTheme="minorHAnsi" w:cstheme="minorHAnsi"/>
          <w:bCs/>
        </w:rPr>
        <w:t xml:space="preserve">s no different. </w:t>
      </w:r>
    </w:p>
    <w:p w:rsidR="008B64D7" w:rsidRDefault="00120F5B" w:rsidP="00F35C1F">
      <w:pPr>
        <w:rPr>
          <w:rFonts w:asciiTheme="minorHAnsi" w:hAnsiTheme="minorHAnsi" w:cstheme="minorHAnsi"/>
          <w:bCs/>
        </w:rPr>
      </w:pPr>
      <w:r>
        <w:rPr>
          <w:rFonts w:asciiTheme="minorHAnsi" w:hAnsiTheme="minorHAnsi" w:cstheme="minorHAnsi"/>
          <w:bCs/>
        </w:rPr>
        <w:t>In my past life as an IT professional, I learned that computers, since they are designed &amp; created by infallible people, do not always behave as expected. During pre-week, I was under the incorrect impression</w:t>
      </w:r>
      <w:r w:rsidR="008B64D7">
        <w:rPr>
          <w:rFonts w:asciiTheme="minorHAnsi" w:hAnsiTheme="minorHAnsi" w:cstheme="minorHAnsi"/>
          <w:bCs/>
        </w:rPr>
        <w:t xml:space="preserve"> that this course would reveal the immutable secrets of cost analysis</w:t>
      </w:r>
      <w:r>
        <w:rPr>
          <w:rFonts w:asciiTheme="minorHAnsi" w:hAnsiTheme="minorHAnsi" w:cstheme="minorHAnsi"/>
          <w:bCs/>
        </w:rPr>
        <w:t>. But cost drivers, just like computers, are no</w:t>
      </w:r>
      <w:r w:rsidR="008B64D7">
        <w:rPr>
          <w:rFonts w:asciiTheme="minorHAnsi" w:hAnsiTheme="minorHAnsi" w:cstheme="minorHAnsi"/>
          <w:bCs/>
        </w:rPr>
        <w:t>t</w:t>
      </w:r>
      <w:r>
        <w:rPr>
          <w:rFonts w:asciiTheme="minorHAnsi" w:hAnsiTheme="minorHAnsi" w:cstheme="minorHAnsi"/>
          <w:bCs/>
        </w:rPr>
        <w:t xml:space="preserve"> always</w:t>
      </w:r>
      <w:r w:rsidR="00DE35C0">
        <w:rPr>
          <w:rFonts w:asciiTheme="minorHAnsi" w:hAnsiTheme="minorHAnsi" w:cstheme="minorHAnsi"/>
          <w:bCs/>
        </w:rPr>
        <w:t xml:space="preserve"> easy to capture and explain</w:t>
      </w:r>
      <w:r w:rsidR="008B64D7">
        <w:rPr>
          <w:rFonts w:asciiTheme="minorHAnsi" w:hAnsiTheme="minorHAnsi" w:cstheme="minorHAnsi"/>
          <w:bCs/>
        </w:rPr>
        <w:t>.</w:t>
      </w:r>
      <w:r w:rsidR="00DE35C0">
        <w:rPr>
          <w:rFonts w:asciiTheme="minorHAnsi" w:hAnsiTheme="minorHAnsi" w:cstheme="minorHAnsi"/>
          <w:bCs/>
        </w:rPr>
        <w:t xml:space="preserve"> It should have come as no</w:t>
      </w:r>
      <w:r>
        <w:rPr>
          <w:rFonts w:asciiTheme="minorHAnsi" w:hAnsiTheme="minorHAnsi" w:cstheme="minorHAnsi"/>
          <w:bCs/>
        </w:rPr>
        <w:t xml:space="preserve"> surprise</w:t>
      </w:r>
      <w:r w:rsidR="00DE35C0">
        <w:rPr>
          <w:rFonts w:asciiTheme="minorHAnsi" w:hAnsiTheme="minorHAnsi" w:cstheme="minorHAnsi"/>
          <w:bCs/>
        </w:rPr>
        <w:t xml:space="preserve"> to me</w:t>
      </w:r>
      <w:r>
        <w:rPr>
          <w:rFonts w:asciiTheme="minorHAnsi" w:hAnsiTheme="minorHAnsi" w:cstheme="minorHAnsi"/>
          <w:bCs/>
        </w:rPr>
        <w:t xml:space="preserve"> that costing, a methodology </w:t>
      </w:r>
      <w:r>
        <w:rPr>
          <w:rFonts w:asciiTheme="minorHAnsi" w:hAnsiTheme="minorHAnsi" w:cstheme="minorHAnsi"/>
          <w:bCs/>
        </w:rPr>
        <w:t>created by infallible people, do</w:t>
      </w:r>
      <w:r>
        <w:rPr>
          <w:rFonts w:asciiTheme="minorHAnsi" w:hAnsiTheme="minorHAnsi" w:cstheme="minorHAnsi"/>
          <w:bCs/>
        </w:rPr>
        <w:t>es</w:t>
      </w:r>
      <w:r>
        <w:rPr>
          <w:rFonts w:asciiTheme="minorHAnsi" w:hAnsiTheme="minorHAnsi" w:cstheme="minorHAnsi"/>
          <w:bCs/>
        </w:rPr>
        <w:t xml:space="preserve"> not </w:t>
      </w:r>
      <w:r w:rsidR="00DE35C0">
        <w:rPr>
          <w:rFonts w:asciiTheme="minorHAnsi" w:hAnsiTheme="minorHAnsi" w:cstheme="minorHAnsi"/>
          <w:bCs/>
        </w:rPr>
        <w:t xml:space="preserve">lend itself to easy execution or </w:t>
      </w:r>
      <w:r w:rsidR="00A238FE">
        <w:rPr>
          <w:rFonts w:asciiTheme="minorHAnsi" w:hAnsiTheme="minorHAnsi" w:cstheme="minorHAnsi"/>
          <w:bCs/>
        </w:rPr>
        <w:t>yield perfect results</w:t>
      </w:r>
      <w:r>
        <w:rPr>
          <w:rFonts w:asciiTheme="minorHAnsi" w:hAnsiTheme="minorHAnsi" w:cstheme="minorHAnsi"/>
          <w:bCs/>
        </w:rPr>
        <w:t>.</w:t>
      </w:r>
    </w:p>
    <w:p w:rsidR="00DE35C0" w:rsidRDefault="00DE35C0" w:rsidP="00F35C1F">
      <w:pPr>
        <w:rPr>
          <w:rFonts w:asciiTheme="minorHAnsi" w:hAnsiTheme="minorHAnsi" w:cstheme="minorHAnsi"/>
          <w:bCs/>
        </w:rPr>
      </w:pPr>
      <w:r>
        <w:rPr>
          <w:rFonts w:asciiTheme="minorHAnsi" w:hAnsiTheme="minorHAnsi" w:cstheme="minorHAnsi"/>
          <w:bCs/>
        </w:rPr>
        <w:t xml:space="preserve">The projects and discussions did help me gain a better understanding of cost analysis. </w:t>
      </w:r>
      <w:r w:rsidR="00A238FE">
        <w:rPr>
          <w:rFonts w:asciiTheme="minorHAnsi" w:hAnsiTheme="minorHAnsi" w:cstheme="minorHAnsi"/>
          <w:bCs/>
        </w:rPr>
        <w:t xml:space="preserve">Again, </w:t>
      </w:r>
      <w:proofErr w:type="spellStart"/>
      <w:r w:rsidR="00A238FE">
        <w:rPr>
          <w:rFonts w:asciiTheme="minorHAnsi" w:hAnsiTheme="minorHAnsi" w:cstheme="minorHAnsi"/>
          <w:bCs/>
        </w:rPr>
        <w:t>Greville</w:t>
      </w:r>
      <w:proofErr w:type="spellEnd"/>
      <w:r w:rsidR="00A238FE">
        <w:rPr>
          <w:rFonts w:asciiTheme="minorHAnsi" w:hAnsiTheme="minorHAnsi" w:cstheme="minorHAnsi"/>
          <w:bCs/>
        </w:rPr>
        <w:t xml:space="preserve"> Rumble’s text and visit were invaluable resources. As to the final project, m</w:t>
      </w:r>
      <w:r>
        <w:rPr>
          <w:rFonts w:asciiTheme="minorHAnsi" w:hAnsiTheme="minorHAnsi" w:cstheme="minorHAnsi"/>
          <w:bCs/>
        </w:rPr>
        <w:t xml:space="preserve">y group started strong and </w:t>
      </w:r>
      <w:r w:rsidR="00A238FE">
        <w:rPr>
          <w:rFonts w:asciiTheme="minorHAnsi" w:hAnsiTheme="minorHAnsi" w:cstheme="minorHAnsi"/>
          <w:bCs/>
        </w:rPr>
        <w:t>kept going strong. Meeting attendance was high, there were great conver</w:t>
      </w:r>
      <w:r w:rsidR="00B4626F">
        <w:rPr>
          <w:rFonts w:asciiTheme="minorHAnsi" w:hAnsiTheme="minorHAnsi" w:cstheme="minorHAnsi"/>
          <w:bCs/>
        </w:rPr>
        <w:t xml:space="preserve">sations throughout </w:t>
      </w:r>
      <w:r w:rsidR="00A238FE">
        <w:rPr>
          <w:rFonts w:asciiTheme="minorHAnsi" w:hAnsiTheme="minorHAnsi" w:cstheme="minorHAnsi"/>
          <w:bCs/>
        </w:rPr>
        <w:t>and e</w:t>
      </w:r>
      <w:r>
        <w:rPr>
          <w:rFonts w:asciiTheme="minorHAnsi" w:hAnsiTheme="minorHAnsi" w:cstheme="minorHAnsi"/>
          <w:bCs/>
        </w:rPr>
        <w:t xml:space="preserve">veryone was persistent in getting the deliverables </w:t>
      </w:r>
      <w:r w:rsidR="00A238FE">
        <w:rPr>
          <w:rFonts w:asciiTheme="minorHAnsi" w:hAnsiTheme="minorHAnsi" w:cstheme="minorHAnsi"/>
          <w:bCs/>
        </w:rPr>
        <w:t xml:space="preserve">together. </w:t>
      </w:r>
    </w:p>
    <w:p w:rsidR="0098347B" w:rsidRDefault="0098347B" w:rsidP="00F35C1F">
      <w:pPr>
        <w:rPr>
          <w:rFonts w:asciiTheme="minorHAnsi" w:hAnsiTheme="minorHAnsi" w:cstheme="minorHAnsi"/>
          <w:bCs/>
        </w:rPr>
      </w:pPr>
      <w:r>
        <w:rPr>
          <w:rFonts w:asciiTheme="minorHAnsi" w:hAnsiTheme="minorHAnsi" w:cstheme="minorHAnsi"/>
          <w:bCs/>
        </w:rPr>
        <w:t>A final thought is from a</w:t>
      </w:r>
      <w:r w:rsidR="008B64D7">
        <w:rPr>
          <w:rFonts w:asciiTheme="minorHAnsi" w:hAnsiTheme="minorHAnsi" w:cstheme="minorHAnsi"/>
          <w:bCs/>
        </w:rPr>
        <w:t xml:space="preserve"> CNBC article I found</w:t>
      </w:r>
      <w:r w:rsidR="00DE35C0">
        <w:rPr>
          <w:rFonts w:asciiTheme="minorHAnsi" w:hAnsiTheme="minorHAnsi" w:cstheme="minorHAnsi"/>
          <w:bCs/>
        </w:rPr>
        <w:t xml:space="preserve"> online during the </w:t>
      </w:r>
      <w:r w:rsidR="00A238FE">
        <w:rPr>
          <w:rFonts w:asciiTheme="minorHAnsi" w:hAnsiTheme="minorHAnsi" w:cstheme="minorHAnsi"/>
          <w:bCs/>
        </w:rPr>
        <w:t>course of the project.</w:t>
      </w:r>
      <w:r>
        <w:rPr>
          <w:rFonts w:asciiTheme="minorHAnsi" w:hAnsiTheme="minorHAnsi" w:cstheme="minorHAnsi"/>
          <w:bCs/>
        </w:rPr>
        <w:t xml:space="preserve"> The American Bar Association</w:t>
      </w:r>
      <w:r w:rsidR="006A31F6">
        <w:rPr>
          <w:rFonts w:asciiTheme="minorHAnsi" w:hAnsiTheme="minorHAnsi" w:cstheme="minorHAnsi"/>
          <w:bCs/>
        </w:rPr>
        <w:t xml:space="preserve"> </w:t>
      </w:r>
      <w:r>
        <w:rPr>
          <w:rFonts w:asciiTheme="minorHAnsi" w:hAnsiTheme="minorHAnsi" w:cstheme="minorHAnsi"/>
          <w:bCs/>
        </w:rPr>
        <w:t>has appro</w:t>
      </w:r>
      <w:r w:rsidR="006A31F6">
        <w:rPr>
          <w:rFonts w:asciiTheme="minorHAnsi" w:hAnsiTheme="minorHAnsi" w:cstheme="minorHAnsi"/>
          <w:bCs/>
        </w:rPr>
        <w:t xml:space="preserve">ved a blended law program offered by </w:t>
      </w:r>
      <w:r w:rsidR="006A31F6" w:rsidRPr="006A31F6">
        <w:rPr>
          <w:rFonts w:asciiTheme="minorHAnsi" w:hAnsiTheme="minorHAnsi" w:cstheme="minorHAnsi"/>
          <w:bCs/>
        </w:rPr>
        <w:t>William Mitchell College of Law</w:t>
      </w:r>
      <w:r w:rsidR="006A31F6">
        <w:rPr>
          <w:rFonts w:asciiTheme="minorHAnsi" w:hAnsiTheme="minorHAnsi" w:cstheme="minorHAnsi"/>
          <w:bCs/>
        </w:rPr>
        <w:t xml:space="preserve"> in Michigan (Landsman, 2015). While other programs have offered online offerings, this is the first online offering that has </w:t>
      </w:r>
      <w:r w:rsidR="00C81480">
        <w:rPr>
          <w:rFonts w:asciiTheme="minorHAnsi" w:hAnsiTheme="minorHAnsi" w:cstheme="minorHAnsi"/>
          <w:bCs/>
        </w:rPr>
        <w:t xml:space="preserve">been approved by the bar </w:t>
      </w:r>
      <w:r w:rsidR="00C81480">
        <w:rPr>
          <w:rFonts w:asciiTheme="minorHAnsi" w:hAnsiTheme="minorHAnsi" w:cstheme="minorHAnsi"/>
          <w:bCs/>
        </w:rPr>
        <w:t xml:space="preserve">(Landsman, 2015). </w:t>
      </w:r>
      <w:r w:rsidR="006A31F6">
        <w:rPr>
          <w:rFonts w:asciiTheme="minorHAnsi" w:hAnsiTheme="minorHAnsi" w:cstheme="minorHAnsi"/>
          <w:bCs/>
        </w:rPr>
        <w:t xml:space="preserve"> Half of the program is in the classroom and half online</w:t>
      </w:r>
      <w:r w:rsidR="00C81480">
        <w:rPr>
          <w:rFonts w:asciiTheme="minorHAnsi" w:hAnsiTheme="minorHAnsi" w:cstheme="minorHAnsi"/>
          <w:bCs/>
        </w:rPr>
        <w:t xml:space="preserve"> </w:t>
      </w:r>
      <w:r w:rsidR="00C81480">
        <w:rPr>
          <w:rFonts w:asciiTheme="minorHAnsi" w:hAnsiTheme="minorHAnsi" w:cstheme="minorHAnsi"/>
          <w:bCs/>
        </w:rPr>
        <w:t>(Landsman, 2015).</w:t>
      </w:r>
    </w:p>
    <w:p w:rsidR="00C81480" w:rsidRDefault="00C81480" w:rsidP="00F35C1F">
      <w:pPr>
        <w:rPr>
          <w:rFonts w:asciiTheme="minorHAnsi" w:hAnsiTheme="minorHAnsi" w:cstheme="minorHAnsi"/>
          <w:bCs/>
        </w:rPr>
      </w:pPr>
      <w:proofErr w:type="gramStart"/>
      <w:r>
        <w:rPr>
          <w:rFonts w:asciiTheme="minorHAnsi" w:hAnsiTheme="minorHAnsi" w:cstheme="minorHAnsi"/>
          <w:bCs/>
        </w:rPr>
        <w:lastRenderedPageBreak/>
        <w:t>The motivation?</w:t>
      </w:r>
      <w:proofErr w:type="gramEnd"/>
      <w:r>
        <w:rPr>
          <w:rFonts w:asciiTheme="minorHAnsi" w:hAnsiTheme="minorHAnsi" w:cstheme="minorHAnsi"/>
          <w:bCs/>
        </w:rPr>
        <w:t xml:space="preserve"> One </w:t>
      </w:r>
      <w:r w:rsidR="00591870">
        <w:rPr>
          <w:rFonts w:asciiTheme="minorHAnsi" w:hAnsiTheme="minorHAnsi" w:cstheme="minorHAnsi"/>
          <w:bCs/>
        </w:rPr>
        <w:t>that is very common to</w:t>
      </w:r>
      <w:r>
        <w:rPr>
          <w:rFonts w:asciiTheme="minorHAnsi" w:hAnsiTheme="minorHAnsi" w:cstheme="minorHAnsi"/>
          <w:bCs/>
        </w:rPr>
        <w:t xml:space="preserve"> any DE practitioner, increasing access and revenue:</w:t>
      </w:r>
    </w:p>
    <w:p w:rsidR="008B64D7" w:rsidRDefault="0098347B" w:rsidP="0098347B">
      <w:pPr>
        <w:ind w:left="720" w:right="720"/>
        <w:rPr>
          <w:rFonts w:asciiTheme="minorHAnsi" w:hAnsiTheme="minorHAnsi" w:cstheme="minorHAnsi"/>
          <w:bCs/>
        </w:rPr>
      </w:pPr>
      <w:r w:rsidRPr="0098347B">
        <w:rPr>
          <w:rFonts w:asciiTheme="minorHAnsi" w:hAnsiTheme="minorHAnsi" w:cstheme="minorHAnsi"/>
          <w:bCs/>
        </w:rPr>
        <w:t>"We were thinking of new ways to expand access to legal education. We saw technology becoming increasingly import</w:t>
      </w:r>
      <w:r>
        <w:rPr>
          <w:rFonts w:asciiTheme="minorHAnsi" w:hAnsiTheme="minorHAnsi" w:cstheme="minorHAnsi"/>
          <w:bCs/>
        </w:rPr>
        <w:t>ant to the practice of law," [</w:t>
      </w:r>
      <w:r w:rsidRPr="0098347B">
        <w:rPr>
          <w:rFonts w:asciiTheme="minorHAnsi" w:hAnsiTheme="minorHAnsi" w:cstheme="minorHAnsi"/>
          <w:bCs/>
        </w:rPr>
        <w:t xml:space="preserve">Greg </w:t>
      </w:r>
      <w:proofErr w:type="spellStart"/>
      <w:r w:rsidRPr="0098347B">
        <w:rPr>
          <w:rFonts w:asciiTheme="minorHAnsi" w:hAnsiTheme="minorHAnsi" w:cstheme="minorHAnsi"/>
          <w:bCs/>
        </w:rPr>
        <w:t>Duhl</w:t>
      </w:r>
      <w:proofErr w:type="spellEnd"/>
      <w:r>
        <w:rPr>
          <w:rFonts w:asciiTheme="minorHAnsi" w:hAnsiTheme="minorHAnsi" w:cstheme="minorHAnsi"/>
          <w:bCs/>
        </w:rPr>
        <w:t xml:space="preserve">] </w:t>
      </w:r>
      <w:r w:rsidRPr="0098347B">
        <w:rPr>
          <w:rFonts w:asciiTheme="minorHAnsi" w:hAnsiTheme="minorHAnsi" w:cstheme="minorHAnsi"/>
          <w:bCs/>
        </w:rPr>
        <w:t xml:space="preserve">said. "With the decline of lawyers and law students, we were looking for </w:t>
      </w:r>
      <w:r>
        <w:rPr>
          <w:rFonts w:asciiTheme="minorHAnsi" w:hAnsiTheme="minorHAnsi" w:cstheme="minorHAnsi"/>
          <w:bCs/>
        </w:rPr>
        <w:t>new avenues to attract students</w:t>
      </w:r>
      <w:r w:rsidRPr="0098347B">
        <w:rPr>
          <w:rFonts w:asciiTheme="minorHAnsi" w:hAnsiTheme="minorHAnsi" w:cstheme="minorHAnsi"/>
          <w:bCs/>
        </w:rPr>
        <w:t>"</w:t>
      </w:r>
      <w:r>
        <w:rPr>
          <w:rFonts w:asciiTheme="minorHAnsi" w:hAnsiTheme="minorHAnsi" w:cstheme="minorHAnsi"/>
          <w:bCs/>
        </w:rPr>
        <w:t xml:space="preserve"> (</w:t>
      </w:r>
      <w:r w:rsidR="006A31F6">
        <w:rPr>
          <w:rFonts w:asciiTheme="minorHAnsi" w:hAnsiTheme="minorHAnsi" w:cstheme="minorHAnsi"/>
          <w:bCs/>
        </w:rPr>
        <w:t>Landsman, 2015</w:t>
      </w:r>
      <w:r>
        <w:rPr>
          <w:rFonts w:asciiTheme="minorHAnsi" w:hAnsiTheme="minorHAnsi" w:cstheme="minorHAnsi"/>
          <w:bCs/>
        </w:rPr>
        <w:t xml:space="preserve">, </w:t>
      </w:r>
      <w:proofErr w:type="spellStart"/>
      <w:r>
        <w:rPr>
          <w:rFonts w:asciiTheme="minorHAnsi" w:hAnsiTheme="minorHAnsi" w:cstheme="minorHAnsi"/>
          <w:bCs/>
        </w:rPr>
        <w:t>para</w:t>
      </w:r>
      <w:proofErr w:type="spellEnd"/>
      <w:r>
        <w:rPr>
          <w:rFonts w:asciiTheme="minorHAnsi" w:hAnsiTheme="minorHAnsi" w:cstheme="minorHAnsi"/>
          <w:bCs/>
        </w:rPr>
        <w:t>. 5).</w:t>
      </w:r>
    </w:p>
    <w:p w:rsidR="00EE3900" w:rsidRPr="0035754A" w:rsidRDefault="00A238FE" w:rsidP="00F35C1F">
      <w:pPr>
        <w:rPr>
          <w:rFonts w:asciiTheme="minorHAnsi" w:hAnsiTheme="minorHAnsi" w:cstheme="minorHAnsi"/>
          <w:bCs/>
        </w:rPr>
      </w:pPr>
      <w:r>
        <w:rPr>
          <w:rFonts w:asciiTheme="minorHAnsi" w:hAnsiTheme="minorHAnsi" w:cstheme="minorHAnsi"/>
          <w:bCs/>
        </w:rPr>
        <w:t xml:space="preserve">This </w:t>
      </w:r>
      <w:r w:rsidR="006A31F6">
        <w:rPr>
          <w:rFonts w:asciiTheme="minorHAnsi" w:hAnsiTheme="minorHAnsi" w:cstheme="minorHAnsi"/>
          <w:bCs/>
        </w:rPr>
        <w:t xml:space="preserve">quote </w:t>
      </w:r>
      <w:r>
        <w:rPr>
          <w:rFonts w:asciiTheme="minorHAnsi" w:hAnsiTheme="minorHAnsi" w:cstheme="minorHAnsi"/>
          <w:bCs/>
        </w:rPr>
        <w:t xml:space="preserve">confirms that the skills I am learning as part of MDE are skills that will be </w:t>
      </w:r>
      <w:r w:rsidR="006A31F6">
        <w:rPr>
          <w:rFonts w:asciiTheme="minorHAnsi" w:hAnsiTheme="minorHAnsi" w:cstheme="minorHAnsi"/>
          <w:bCs/>
        </w:rPr>
        <w:t>demand in the coming year</w:t>
      </w:r>
      <w:r w:rsidR="00C81480">
        <w:rPr>
          <w:rFonts w:asciiTheme="minorHAnsi" w:hAnsiTheme="minorHAnsi" w:cstheme="minorHAnsi"/>
          <w:bCs/>
        </w:rPr>
        <w:t>s</w:t>
      </w:r>
      <w:r w:rsidR="006A31F6">
        <w:rPr>
          <w:rFonts w:asciiTheme="minorHAnsi" w:hAnsiTheme="minorHAnsi" w:cstheme="minorHAnsi"/>
          <w:bCs/>
        </w:rPr>
        <w:t>.</w:t>
      </w:r>
    </w:p>
    <w:p w:rsidR="00EE3900" w:rsidRPr="0035754A" w:rsidRDefault="00EE3900" w:rsidP="00F35C1F">
      <w:pPr>
        <w:rPr>
          <w:rFonts w:asciiTheme="minorHAnsi" w:hAnsiTheme="minorHAnsi" w:cstheme="minorHAnsi"/>
          <w:bCs/>
        </w:rPr>
      </w:pPr>
      <w:r w:rsidRPr="0035754A">
        <w:rPr>
          <w:rFonts w:asciiTheme="minorHAnsi" w:hAnsiTheme="minorHAnsi" w:cstheme="minorHAnsi"/>
          <w:bCs/>
        </w:rPr>
        <w:t>REFERENCES</w:t>
      </w:r>
    </w:p>
    <w:p w:rsidR="00106C10" w:rsidRPr="00F41952" w:rsidRDefault="006A31F6" w:rsidP="00F35C1F">
      <w:r>
        <w:rPr>
          <w:rFonts w:asciiTheme="minorHAnsi" w:hAnsiTheme="minorHAnsi" w:cstheme="minorHAnsi"/>
          <w:bCs/>
        </w:rPr>
        <w:t>Landsman, S. (2015</w:t>
      </w:r>
      <w:r w:rsidR="00F41952" w:rsidRPr="0035754A">
        <w:rPr>
          <w:rFonts w:asciiTheme="minorHAnsi" w:hAnsiTheme="minorHAnsi" w:cstheme="minorHAnsi"/>
          <w:bCs/>
        </w:rPr>
        <w:t xml:space="preserve">, April 5). </w:t>
      </w:r>
      <w:r w:rsidR="0035754A" w:rsidRPr="0035754A">
        <w:rPr>
          <w:rFonts w:asciiTheme="minorHAnsi" w:hAnsiTheme="minorHAnsi" w:cstheme="minorHAnsi"/>
          <w:bCs/>
        </w:rPr>
        <w:t xml:space="preserve">Digital cracks the final frontier: Law school </w:t>
      </w:r>
      <w:r w:rsidR="00F41952" w:rsidRPr="0035754A">
        <w:rPr>
          <w:rFonts w:asciiTheme="minorHAnsi" w:hAnsiTheme="minorHAnsi" w:cstheme="minorHAnsi"/>
          <w:bCs/>
        </w:rPr>
        <w:t xml:space="preserve">[Blog Post]. Retrieved from </w:t>
      </w:r>
      <w:r w:rsidR="0035754A" w:rsidRPr="0035754A">
        <w:rPr>
          <w:rFonts w:asciiTheme="minorHAnsi" w:hAnsiTheme="minorHAnsi" w:cstheme="minorHAnsi"/>
          <w:bCs/>
        </w:rPr>
        <w:t>http://www.cnbc.com/id/102528663</w:t>
      </w:r>
      <w:bookmarkEnd w:id="0"/>
      <w:r w:rsidR="00106C10" w:rsidRPr="00F41952">
        <w:rPr>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6220A9" w:rsidRPr="008E592C" w:rsidTr="006052F7">
        <w:tc>
          <w:tcPr>
            <w:tcW w:w="2898" w:type="dxa"/>
          </w:tcPr>
          <w:p w:rsidR="006220A9" w:rsidRDefault="006220A9" w:rsidP="006052F7">
            <w:pPr>
              <w:pStyle w:val="Heading2"/>
              <w:outlineLvl w:val="1"/>
            </w:pPr>
            <w:r>
              <w:lastRenderedPageBreak/>
              <w:t>Entry Title (Number)</w:t>
            </w:r>
          </w:p>
        </w:tc>
        <w:tc>
          <w:tcPr>
            <w:tcW w:w="6678" w:type="dxa"/>
          </w:tcPr>
          <w:p w:rsidR="006220A9" w:rsidRPr="008E592C" w:rsidRDefault="00396697" w:rsidP="006052F7">
            <w:pPr>
              <w:pStyle w:val="Heading2"/>
              <w:outlineLvl w:val="1"/>
              <w:rPr>
                <w:b w:val="0"/>
              </w:rPr>
            </w:pPr>
            <w:r>
              <w:rPr>
                <w:b w:val="0"/>
                <w:color w:val="000000" w:themeColor="text1"/>
              </w:rPr>
              <w:t>Learning Success</w:t>
            </w:r>
            <w:r w:rsidR="006220A9">
              <w:rPr>
                <w:b w:val="0"/>
                <w:color w:val="000000" w:themeColor="text1"/>
              </w:rPr>
              <w:t xml:space="preserve"> </w:t>
            </w:r>
            <w:r w:rsidR="00D46246">
              <w:rPr>
                <w:b w:val="0"/>
                <w:color w:val="000000" w:themeColor="text1"/>
              </w:rPr>
              <w:t xml:space="preserve">Redefined </w:t>
            </w:r>
            <w:r w:rsidR="006220A9">
              <w:rPr>
                <w:b w:val="0"/>
                <w:color w:val="000000" w:themeColor="text1"/>
              </w:rPr>
              <w:t>(#7)</w:t>
            </w:r>
          </w:p>
        </w:tc>
      </w:tr>
      <w:tr w:rsidR="006220A9" w:rsidRPr="008E592C" w:rsidTr="006052F7">
        <w:tc>
          <w:tcPr>
            <w:tcW w:w="2898" w:type="dxa"/>
          </w:tcPr>
          <w:p w:rsidR="006220A9" w:rsidRDefault="006220A9" w:rsidP="006052F7">
            <w:pPr>
              <w:pStyle w:val="Heading2"/>
              <w:outlineLvl w:val="1"/>
            </w:pPr>
            <w:r>
              <w:t>Date</w:t>
            </w:r>
          </w:p>
        </w:tc>
        <w:tc>
          <w:tcPr>
            <w:tcW w:w="6678" w:type="dxa"/>
          </w:tcPr>
          <w:p w:rsidR="006220A9" w:rsidRPr="008E592C" w:rsidRDefault="006C0F56" w:rsidP="006052F7">
            <w:pPr>
              <w:pStyle w:val="Heading2"/>
              <w:outlineLvl w:val="1"/>
              <w:rPr>
                <w:b w:val="0"/>
                <w:color w:val="000000" w:themeColor="text1"/>
              </w:rPr>
            </w:pPr>
            <w:r>
              <w:rPr>
                <w:b w:val="0"/>
                <w:color w:val="000000" w:themeColor="text1"/>
              </w:rPr>
              <w:t>10-Apr</w:t>
            </w:r>
            <w:r w:rsidR="006220A9">
              <w:rPr>
                <w:b w:val="0"/>
                <w:color w:val="000000" w:themeColor="text1"/>
              </w:rPr>
              <w:t>-2015</w:t>
            </w:r>
          </w:p>
        </w:tc>
      </w:tr>
      <w:tr w:rsidR="006220A9" w:rsidRPr="008E592C" w:rsidTr="006052F7">
        <w:tc>
          <w:tcPr>
            <w:tcW w:w="2898" w:type="dxa"/>
          </w:tcPr>
          <w:p w:rsidR="006220A9" w:rsidRDefault="006220A9" w:rsidP="006052F7">
            <w:pPr>
              <w:pStyle w:val="Heading2"/>
              <w:outlineLvl w:val="1"/>
            </w:pPr>
            <w:r>
              <w:t>Course/Module</w:t>
            </w:r>
          </w:p>
        </w:tc>
        <w:tc>
          <w:tcPr>
            <w:tcW w:w="6678" w:type="dxa"/>
          </w:tcPr>
          <w:p w:rsidR="006220A9" w:rsidRPr="008E592C" w:rsidRDefault="006220A9" w:rsidP="006220A9">
            <w:pPr>
              <w:pStyle w:val="Heading2"/>
              <w:outlineLvl w:val="1"/>
              <w:rPr>
                <w:b w:val="0"/>
                <w:color w:val="000000" w:themeColor="text1"/>
              </w:rPr>
            </w:pPr>
            <w:r>
              <w:rPr>
                <w:b w:val="0"/>
                <w:color w:val="000000" w:themeColor="text1"/>
              </w:rPr>
              <w:t>OMDE606, Costing Educational Media</w:t>
            </w:r>
          </w:p>
        </w:tc>
      </w:tr>
    </w:tbl>
    <w:p w:rsidR="006220A9" w:rsidRPr="00B4768C" w:rsidRDefault="006220A9">
      <w:pPr>
        <w:rPr>
          <w:rFonts w:asciiTheme="minorHAnsi" w:hAnsiTheme="minorHAnsi" w:cstheme="minorHAnsi"/>
          <w:bCs/>
        </w:rPr>
      </w:pPr>
    </w:p>
    <w:p w:rsidR="00106C10" w:rsidRDefault="00106C10" w:rsidP="007A7033">
      <w:pPr>
        <w:rPr>
          <w:rFonts w:asciiTheme="minorHAnsi" w:hAnsiTheme="minorHAnsi" w:cstheme="minorHAnsi"/>
          <w:bCs/>
        </w:rPr>
      </w:pPr>
      <w:r>
        <w:rPr>
          <w:rFonts w:asciiTheme="minorHAnsi" w:hAnsiTheme="minorHAnsi" w:cstheme="minorHAnsi"/>
          <w:bCs/>
          <w:noProof/>
        </w:rPr>
        <w:drawing>
          <wp:inline distT="0" distB="0" distL="0" distR="0">
            <wp:extent cx="2578100" cy="1933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_line_1068232_762932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100" cy="1933575"/>
                    </a:xfrm>
                    <a:prstGeom prst="rect">
                      <a:avLst/>
                    </a:prstGeom>
                  </pic:spPr>
                </pic:pic>
              </a:graphicData>
            </a:graphic>
          </wp:inline>
        </w:drawing>
      </w:r>
    </w:p>
    <w:p w:rsidR="007A7033" w:rsidRDefault="006C0F56" w:rsidP="007A7033">
      <w:pPr>
        <w:rPr>
          <w:rFonts w:asciiTheme="minorHAnsi" w:hAnsiTheme="minorHAnsi" w:cstheme="minorHAnsi"/>
          <w:bCs/>
        </w:rPr>
      </w:pPr>
      <w:r>
        <w:rPr>
          <w:rFonts w:asciiTheme="minorHAnsi" w:hAnsiTheme="minorHAnsi" w:cstheme="minorHAnsi"/>
          <w:bCs/>
        </w:rPr>
        <w:t xml:space="preserve">“As one might expect, aligning training initiatives with strategic business initiatives is imperative” (Berge &amp; Donaldson, 2008). </w:t>
      </w:r>
      <w:r w:rsidR="007A7033">
        <w:rPr>
          <w:rFonts w:asciiTheme="minorHAnsi" w:hAnsiTheme="minorHAnsi" w:cstheme="minorHAnsi"/>
          <w:bCs/>
        </w:rPr>
        <w:t xml:space="preserve">This brought me back to </w:t>
      </w:r>
      <w:r w:rsidR="007A7033" w:rsidRPr="007A7033">
        <w:rPr>
          <w:rFonts w:asciiTheme="minorHAnsi" w:hAnsiTheme="minorHAnsi" w:cstheme="minorHAnsi"/>
          <w:bCs/>
        </w:rPr>
        <w:t xml:space="preserve">Wick, Pollock, and Jefferson (2010) </w:t>
      </w:r>
      <w:r w:rsidR="007A7033">
        <w:rPr>
          <w:rFonts w:asciiTheme="minorHAnsi" w:hAnsiTheme="minorHAnsi" w:cstheme="minorHAnsi"/>
          <w:bCs/>
        </w:rPr>
        <w:t xml:space="preserve">who </w:t>
      </w:r>
      <w:r w:rsidR="007A7033" w:rsidRPr="007A7033">
        <w:rPr>
          <w:rFonts w:asciiTheme="minorHAnsi" w:hAnsiTheme="minorHAnsi" w:cstheme="minorHAnsi"/>
          <w:bCs/>
        </w:rPr>
        <w:t>write that “Business leaders want learning professionals…who understand their specific business, who can clearly and succinctly explain the business model of their company or division and its more important business drivers and challenges” (p. 31).</w:t>
      </w:r>
      <w:r w:rsidR="007A7033">
        <w:rPr>
          <w:rFonts w:asciiTheme="minorHAnsi" w:hAnsiTheme="minorHAnsi" w:cstheme="minorHAnsi"/>
          <w:bCs/>
        </w:rPr>
        <w:t xml:space="preserve"> </w:t>
      </w:r>
    </w:p>
    <w:p w:rsidR="00396697" w:rsidRDefault="007A7033" w:rsidP="007A7033">
      <w:pPr>
        <w:rPr>
          <w:rFonts w:asciiTheme="minorHAnsi" w:hAnsiTheme="minorHAnsi" w:cstheme="minorHAnsi"/>
          <w:bCs/>
        </w:rPr>
      </w:pPr>
      <w:r>
        <w:rPr>
          <w:rFonts w:asciiTheme="minorHAnsi" w:hAnsiTheme="minorHAnsi" w:cstheme="minorHAnsi"/>
          <w:bCs/>
        </w:rPr>
        <w:t>6Ds encompasses a set of tools and philosophy of partnering with business subject matter experts</w:t>
      </w:r>
      <w:r w:rsidR="0072009B">
        <w:rPr>
          <w:rFonts w:asciiTheme="minorHAnsi" w:hAnsiTheme="minorHAnsi" w:cstheme="minorHAnsi"/>
          <w:bCs/>
        </w:rPr>
        <w:t xml:space="preserve"> to develop effective learning solutions (Wick et al., 2010). 6Ds to me is like ADDIE on steroids. You are defining not just the learning solution</w:t>
      </w:r>
      <w:r w:rsidR="00396697">
        <w:rPr>
          <w:rFonts w:asciiTheme="minorHAnsi" w:hAnsiTheme="minorHAnsi" w:cstheme="minorHAnsi"/>
          <w:bCs/>
        </w:rPr>
        <w:t xml:space="preserve">. You are articulating </w:t>
      </w:r>
      <w:r w:rsidR="0072009B">
        <w:rPr>
          <w:rFonts w:asciiTheme="minorHAnsi" w:hAnsiTheme="minorHAnsi" w:cstheme="minorHAnsi"/>
          <w:bCs/>
        </w:rPr>
        <w:t>the</w:t>
      </w:r>
      <w:r w:rsidR="00396697">
        <w:rPr>
          <w:rFonts w:asciiTheme="minorHAnsi" w:hAnsiTheme="minorHAnsi" w:cstheme="minorHAnsi"/>
          <w:bCs/>
        </w:rPr>
        <w:t xml:space="preserve"> concrete</w:t>
      </w:r>
      <w:r w:rsidR="0072009B">
        <w:rPr>
          <w:rFonts w:asciiTheme="minorHAnsi" w:hAnsiTheme="minorHAnsi" w:cstheme="minorHAnsi"/>
          <w:bCs/>
        </w:rPr>
        <w:t xml:space="preserve"> outcomes that the business expects as well as how improved performance</w:t>
      </w:r>
      <w:r w:rsidR="00396697">
        <w:rPr>
          <w:rFonts w:asciiTheme="minorHAnsi" w:hAnsiTheme="minorHAnsi" w:cstheme="minorHAnsi"/>
          <w:bCs/>
        </w:rPr>
        <w:t xml:space="preserve"> as part of participation</w:t>
      </w:r>
      <w:r w:rsidR="0072009B">
        <w:rPr>
          <w:rFonts w:asciiTheme="minorHAnsi" w:hAnsiTheme="minorHAnsi" w:cstheme="minorHAnsi"/>
          <w:bCs/>
        </w:rPr>
        <w:t xml:space="preserve"> will be measured (Wick et al., 2010).</w:t>
      </w:r>
      <w:r w:rsidR="00396697">
        <w:rPr>
          <w:rFonts w:asciiTheme="minorHAnsi" w:hAnsiTheme="minorHAnsi" w:cstheme="minorHAnsi"/>
          <w:bCs/>
        </w:rPr>
        <w:t xml:space="preserve"> 6Ds also redefines participation to include not just the </w:t>
      </w:r>
      <w:r w:rsidR="0072009B">
        <w:rPr>
          <w:rFonts w:asciiTheme="minorHAnsi" w:hAnsiTheme="minorHAnsi" w:cstheme="minorHAnsi"/>
          <w:bCs/>
        </w:rPr>
        <w:t>design/delivery</w:t>
      </w:r>
      <w:r w:rsidR="00396697">
        <w:rPr>
          <w:rFonts w:asciiTheme="minorHAnsi" w:hAnsiTheme="minorHAnsi" w:cstheme="minorHAnsi"/>
          <w:bCs/>
        </w:rPr>
        <w:t xml:space="preserve"> of events or courses but also what should happen prior to and afterwards (Wick et al., 2010).  Prior to participation in the training, we need</w:t>
      </w:r>
      <w:r w:rsidR="0072009B">
        <w:rPr>
          <w:rFonts w:asciiTheme="minorHAnsi" w:hAnsiTheme="minorHAnsi" w:cstheme="minorHAnsi"/>
          <w:bCs/>
        </w:rPr>
        <w:t xml:space="preserve"> involve the learner’s management</w:t>
      </w:r>
      <w:r w:rsidR="00396697">
        <w:rPr>
          <w:rFonts w:asciiTheme="minorHAnsi" w:hAnsiTheme="minorHAnsi" w:cstheme="minorHAnsi"/>
          <w:bCs/>
        </w:rPr>
        <w:t xml:space="preserve"> and the learner’s themselves</w:t>
      </w:r>
      <w:r w:rsidR="0072009B">
        <w:rPr>
          <w:rFonts w:asciiTheme="minorHAnsi" w:hAnsiTheme="minorHAnsi" w:cstheme="minorHAnsi"/>
          <w:bCs/>
        </w:rPr>
        <w:t xml:space="preserve"> to set the </w:t>
      </w:r>
      <w:r w:rsidR="00396697">
        <w:rPr>
          <w:rFonts w:asciiTheme="minorHAnsi" w:hAnsiTheme="minorHAnsi" w:cstheme="minorHAnsi"/>
          <w:bCs/>
        </w:rPr>
        <w:t>stage for success. Afterward, we need to provide performance support tools to help learners take the training out of the classroom and apply it to their jobs (Wick et al., 2010). One final thought: “To date, companies around the world have been able to demonstrate that adding a transfer management system to a learning or development program enhances participants’ efforts to use what they learned, facilitates interactions with their managers, accelerates performance improvement, and increase the return on investment in the program” (Wick et al., 2010</w:t>
      </w:r>
      <w:r w:rsidR="00AE0C07">
        <w:rPr>
          <w:rFonts w:asciiTheme="minorHAnsi" w:hAnsiTheme="minorHAnsi" w:cstheme="minorHAnsi"/>
          <w:bCs/>
        </w:rPr>
        <w:t>, pp. 189-190</w:t>
      </w:r>
      <w:r w:rsidR="00396697">
        <w:rPr>
          <w:rFonts w:asciiTheme="minorHAnsi" w:hAnsiTheme="minorHAnsi" w:cstheme="minorHAnsi"/>
          <w:bCs/>
        </w:rPr>
        <w:t>).</w:t>
      </w:r>
    </w:p>
    <w:p w:rsidR="006220A9" w:rsidRPr="00B4768C" w:rsidRDefault="00396697" w:rsidP="007A7033">
      <w:pPr>
        <w:rPr>
          <w:rFonts w:asciiTheme="minorHAnsi" w:hAnsiTheme="minorHAnsi" w:cstheme="minorHAnsi"/>
          <w:bCs/>
        </w:rPr>
      </w:pPr>
      <w:r>
        <w:rPr>
          <w:rFonts w:asciiTheme="minorHAnsi" w:hAnsiTheme="minorHAnsi" w:cstheme="minorHAnsi"/>
          <w:bCs/>
        </w:rPr>
        <w:t>I hope this brief discussion of 6Ds i</w:t>
      </w:r>
      <w:r w:rsidR="00AE0C07">
        <w:rPr>
          <w:rFonts w:asciiTheme="minorHAnsi" w:hAnsiTheme="minorHAnsi" w:cstheme="minorHAnsi"/>
          <w:bCs/>
        </w:rPr>
        <w:t xml:space="preserve">nspires you to learn more at </w:t>
      </w:r>
      <w:hyperlink r:id="rId11" w:history="1">
        <w:r w:rsidR="00AE0C07" w:rsidRPr="00AE0C07">
          <w:rPr>
            <w:rStyle w:val="Hyperlink"/>
            <w:rFonts w:asciiTheme="minorHAnsi" w:hAnsiTheme="minorHAnsi" w:cstheme="minorHAnsi"/>
            <w:bCs/>
          </w:rPr>
          <w:t>http://www.the6Ds.com</w:t>
        </w:r>
      </w:hyperlink>
      <w:r w:rsidR="00AE0C07">
        <w:rPr>
          <w:rFonts w:asciiTheme="minorHAnsi" w:hAnsiTheme="minorHAnsi" w:cstheme="minorHAnsi"/>
          <w:bCs/>
        </w:rPr>
        <w:t>.</w:t>
      </w:r>
    </w:p>
    <w:p w:rsidR="006220A9" w:rsidRPr="00731746" w:rsidRDefault="006220A9">
      <w:pPr>
        <w:rPr>
          <w:rFonts w:asciiTheme="minorHAnsi" w:hAnsiTheme="minorHAnsi" w:cstheme="minorHAnsi"/>
          <w:b/>
          <w:bCs/>
        </w:rPr>
      </w:pPr>
      <w:r w:rsidRPr="00731746">
        <w:rPr>
          <w:rFonts w:asciiTheme="minorHAnsi" w:hAnsiTheme="minorHAnsi" w:cstheme="minorHAnsi"/>
          <w:b/>
          <w:bCs/>
        </w:rPr>
        <w:lastRenderedPageBreak/>
        <w:t>REFERENCES</w:t>
      </w:r>
    </w:p>
    <w:p w:rsidR="006220A9" w:rsidRDefault="006220A9">
      <w:pPr>
        <w:rPr>
          <w:rFonts w:asciiTheme="minorHAnsi" w:hAnsiTheme="minorHAnsi" w:cstheme="minorHAnsi"/>
          <w:bCs/>
        </w:rPr>
      </w:pPr>
      <w:proofErr w:type="gramStart"/>
      <w:r w:rsidRPr="00731746">
        <w:rPr>
          <w:rFonts w:asciiTheme="minorHAnsi" w:hAnsiTheme="minorHAnsi" w:cstheme="minorHAnsi"/>
          <w:bCs/>
        </w:rPr>
        <w:t>Berge, Z., &amp; Donaldson, C. (2008).</w:t>
      </w:r>
      <w:proofErr w:type="gramEnd"/>
      <w:r w:rsidRPr="00731746">
        <w:rPr>
          <w:rFonts w:asciiTheme="minorHAnsi" w:hAnsiTheme="minorHAnsi" w:cstheme="minorHAnsi"/>
          <w:bCs/>
        </w:rPr>
        <w:t xml:space="preserve"> </w:t>
      </w:r>
      <w:proofErr w:type="gramStart"/>
      <w:r w:rsidRPr="00731746">
        <w:rPr>
          <w:rFonts w:asciiTheme="minorHAnsi" w:hAnsiTheme="minorHAnsi" w:cstheme="minorHAnsi"/>
          <w:bCs/>
        </w:rPr>
        <w:t>Cost-benefit of online learning.</w:t>
      </w:r>
      <w:proofErr w:type="gramEnd"/>
      <w:r w:rsidRPr="00731746">
        <w:rPr>
          <w:rFonts w:asciiTheme="minorHAnsi" w:hAnsiTheme="minorHAnsi" w:cstheme="minorHAnsi"/>
          <w:bCs/>
        </w:rPr>
        <w:t xml:space="preserve"> </w:t>
      </w:r>
      <w:proofErr w:type="gramStart"/>
      <w:r w:rsidRPr="00731746">
        <w:rPr>
          <w:rFonts w:asciiTheme="minorHAnsi" w:hAnsiTheme="minorHAnsi" w:cstheme="minorHAnsi"/>
          <w:bCs/>
        </w:rPr>
        <w:t xml:space="preserve">In W. J. Bramble, Panda, S. (Ed.), </w:t>
      </w:r>
      <w:r w:rsidRPr="00731746">
        <w:rPr>
          <w:rFonts w:asciiTheme="minorHAnsi" w:hAnsiTheme="minorHAnsi" w:cstheme="minorHAnsi"/>
          <w:bCs/>
          <w:i/>
        </w:rPr>
        <w:t>Economics of distance and online learning</w:t>
      </w:r>
      <w:r w:rsidRPr="00731746">
        <w:rPr>
          <w:rFonts w:asciiTheme="minorHAnsi" w:hAnsiTheme="minorHAnsi" w:cstheme="minorHAnsi"/>
          <w:bCs/>
        </w:rPr>
        <w:t xml:space="preserve"> (pp. 205-224).</w:t>
      </w:r>
      <w:proofErr w:type="gramEnd"/>
      <w:r w:rsidRPr="00731746">
        <w:rPr>
          <w:rFonts w:asciiTheme="minorHAnsi" w:hAnsiTheme="minorHAnsi" w:cstheme="minorHAnsi"/>
          <w:bCs/>
        </w:rPr>
        <w:t xml:space="preserve"> London: </w:t>
      </w:r>
      <w:proofErr w:type="spellStart"/>
      <w:r w:rsidRPr="00731746">
        <w:rPr>
          <w:rFonts w:asciiTheme="minorHAnsi" w:hAnsiTheme="minorHAnsi" w:cstheme="minorHAnsi"/>
          <w:bCs/>
        </w:rPr>
        <w:t>Kogan</w:t>
      </w:r>
      <w:proofErr w:type="spellEnd"/>
      <w:r w:rsidRPr="00731746">
        <w:rPr>
          <w:rFonts w:asciiTheme="minorHAnsi" w:hAnsiTheme="minorHAnsi" w:cstheme="minorHAnsi"/>
          <w:bCs/>
        </w:rPr>
        <w:t xml:space="preserve"> Page.</w:t>
      </w:r>
    </w:p>
    <w:p w:rsidR="007A7033" w:rsidRPr="00731746" w:rsidRDefault="007A7033">
      <w:pPr>
        <w:rPr>
          <w:rFonts w:asciiTheme="minorHAnsi" w:hAnsiTheme="minorHAnsi" w:cstheme="minorHAnsi"/>
          <w:bCs/>
        </w:rPr>
      </w:pPr>
      <w:proofErr w:type="gramStart"/>
      <w:r w:rsidRPr="007A7033">
        <w:rPr>
          <w:rFonts w:asciiTheme="minorHAnsi" w:hAnsiTheme="minorHAnsi" w:cstheme="minorHAnsi"/>
          <w:bCs/>
        </w:rPr>
        <w:t>Wick, C., Pollock, R., Jefferson, A. (2010).</w:t>
      </w:r>
      <w:proofErr w:type="gramEnd"/>
      <w:r w:rsidRPr="007A7033">
        <w:rPr>
          <w:rFonts w:asciiTheme="minorHAnsi" w:hAnsiTheme="minorHAnsi" w:cstheme="minorHAnsi"/>
          <w:bCs/>
        </w:rPr>
        <w:t xml:space="preserve"> The six disciplines of breakthrough learning. San Francisco, CA: Pfeiffer</w:t>
      </w:r>
    </w:p>
    <w:p w:rsidR="00731746" w:rsidRDefault="00731746">
      <w:pPr>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731746" w:rsidRPr="008E592C" w:rsidTr="006052F7">
        <w:tc>
          <w:tcPr>
            <w:tcW w:w="2898" w:type="dxa"/>
          </w:tcPr>
          <w:p w:rsidR="00731746" w:rsidRDefault="00731746" w:rsidP="006052F7">
            <w:pPr>
              <w:pStyle w:val="Heading2"/>
              <w:outlineLvl w:val="1"/>
            </w:pPr>
            <w:r>
              <w:lastRenderedPageBreak/>
              <w:t>Entry Title (Number)</w:t>
            </w:r>
          </w:p>
        </w:tc>
        <w:tc>
          <w:tcPr>
            <w:tcW w:w="6678" w:type="dxa"/>
          </w:tcPr>
          <w:p w:rsidR="00731746" w:rsidRPr="008E592C" w:rsidRDefault="00731746" w:rsidP="006052F7">
            <w:pPr>
              <w:pStyle w:val="Heading2"/>
              <w:outlineLvl w:val="1"/>
              <w:rPr>
                <w:b w:val="0"/>
              </w:rPr>
            </w:pPr>
            <w:r>
              <w:rPr>
                <w:b w:val="0"/>
                <w:color w:val="000000" w:themeColor="text1"/>
              </w:rPr>
              <w:t>OMDE 606 Highlights (#6)</w:t>
            </w:r>
          </w:p>
        </w:tc>
      </w:tr>
      <w:tr w:rsidR="00731746" w:rsidRPr="008E592C" w:rsidTr="006052F7">
        <w:tc>
          <w:tcPr>
            <w:tcW w:w="2898" w:type="dxa"/>
          </w:tcPr>
          <w:p w:rsidR="00731746" w:rsidRDefault="00731746" w:rsidP="006052F7">
            <w:pPr>
              <w:pStyle w:val="Heading2"/>
              <w:outlineLvl w:val="1"/>
            </w:pPr>
            <w:r>
              <w:t>Date</w:t>
            </w:r>
          </w:p>
        </w:tc>
        <w:tc>
          <w:tcPr>
            <w:tcW w:w="6678" w:type="dxa"/>
          </w:tcPr>
          <w:p w:rsidR="00731746" w:rsidRPr="008E592C" w:rsidRDefault="006A1D23" w:rsidP="006052F7">
            <w:pPr>
              <w:pStyle w:val="Heading2"/>
              <w:outlineLvl w:val="1"/>
              <w:rPr>
                <w:b w:val="0"/>
                <w:color w:val="000000" w:themeColor="text1"/>
              </w:rPr>
            </w:pPr>
            <w:r>
              <w:rPr>
                <w:b w:val="0"/>
                <w:color w:val="000000" w:themeColor="text1"/>
              </w:rPr>
              <w:t>29</w:t>
            </w:r>
            <w:r w:rsidR="00731746">
              <w:rPr>
                <w:b w:val="0"/>
                <w:color w:val="000000" w:themeColor="text1"/>
              </w:rPr>
              <w:t>-Mon-2015</w:t>
            </w:r>
          </w:p>
        </w:tc>
      </w:tr>
      <w:tr w:rsidR="00731746" w:rsidRPr="008E592C" w:rsidTr="006052F7">
        <w:tc>
          <w:tcPr>
            <w:tcW w:w="2898" w:type="dxa"/>
          </w:tcPr>
          <w:p w:rsidR="00731746" w:rsidRDefault="00731746" w:rsidP="006052F7">
            <w:pPr>
              <w:pStyle w:val="Heading2"/>
              <w:outlineLvl w:val="1"/>
            </w:pPr>
            <w:r>
              <w:t>Course/Module</w:t>
            </w:r>
          </w:p>
        </w:tc>
        <w:tc>
          <w:tcPr>
            <w:tcW w:w="6678" w:type="dxa"/>
          </w:tcPr>
          <w:p w:rsidR="00731746" w:rsidRPr="008E592C" w:rsidRDefault="00731746" w:rsidP="00731746">
            <w:pPr>
              <w:pStyle w:val="Heading2"/>
              <w:outlineLvl w:val="1"/>
              <w:rPr>
                <w:b w:val="0"/>
                <w:color w:val="000000" w:themeColor="text1"/>
              </w:rPr>
            </w:pPr>
            <w:r>
              <w:rPr>
                <w:b w:val="0"/>
                <w:color w:val="000000" w:themeColor="text1"/>
              </w:rPr>
              <w:t>OMDE606, Reflections</w:t>
            </w:r>
          </w:p>
        </w:tc>
      </w:tr>
    </w:tbl>
    <w:p w:rsidR="00731746" w:rsidRPr="00731746" w:rsidRDefault="00731746" w:rsidP="00731746">
      <w:pPr>
        <w:rPr>
          <w:rFonts w:asciiTheme="minorHAnsi" w:hAnsiTheme="minorHAnsi" w:cstheme="minorHAnsi"/>
          <w:bCs/>
        </w:rPr>
      </w:pPr>
    </w:p>
    <w:p w:rsidR="00731746" w:rsidRDefault="00731746" w:rsidP="00731746">
      <w:pPr>
        <w:rPr>
          <w:rFonts w:asciiTheme="minorHAnsi" w:hAnsiTheme="minorHAnsi" w:cstheme="minorHAnsi"/>
          <w:bCs/>
        </w:rPr>
      </w:pPr>
      <w:r>
        <w:rPr>
          <w:rFonts w:asciiTheme="minorHAnsi" w:hAnsiTheme="minorHAnsi" w:cstheme="minorHAnsi"/>
          <w:bCs/>
          <w:noProof/>
        </w:rPr>
        <w:drawing>
          <wp:inline distT="0" distB="0" distL="0" distR="0">
            <wp:extent cx="2066925" cy="1581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Reflection.jpg"/>
                    <pic:cNvPicPr/>
                  </pic:nvPicPr>
                  <pic:blipFill>
                    <a:blip r:embed="rId12">
                      <a:extLst>
                        <a:ext uri="{28A0092B-C50C-407E-A947-70E740481C1C}">
                          <a14:useLocalDpi xmlns:a14="http://schemas.microsoft.com/office/drawing/2010/main" val="0"/>
                        </a:ext>
                      </a:extLst>
                    </a:blip>
                    <a:stretch>
                      <a:fillRect/>
                    </a:stretch>
                  </pic:blipFill>
                  <pic:spPr>
                    <a:xfrm>
                      <a:off x="0" y="0"/>
                      <a:ext cx="2066925" cy="1581150"/>
                    </a:xfrm>
                    <a:prstGeom prst="rect">
                      <a:avLst/>
                    </a:prstGeom>
                  </pic:spPr>
                </pic:pic>
              </a:graphicData>
            </a:graphic>
          </wp:inline>
        </w:drawing>
      </w:r>
    </w:p>
    <w:p w:rsidR="00715420" w:rsidRPr="00715420" w:rsidRDefault="00715420" w:rsidP="00715420">
      <w:pPr>
        <w:rPr>
          <w:rFonts w:asciiTheme="minorHAnsi" w:hAnsiTheme="minorHAnsi" w:cstheme="minorHAnsi"/>
          <w:i/>
        </w:rPr>
      </w:pPr>
      <w:r w:rsidRPr="00715420">
        <w:rPr>
          <w:rFonts w:asciiTheme="minorHAnsi" w:hAnsiTheme="minorHAnsi" w:cstheme="minorHAnsi"/>
          <w:i/>
        </w:rPr>
        <w:t>Image courtesy of www.replicatedtypo.com</w:t>
      </w:r>
    </w:p>
    <w:p w:rsidR="00731746" w:rsidRDefault="00731746" w:rsidP="00731746">
      <w:pPr>
        <w:rPr>
          <w:rFonts w:asciiTheme="minorHAnsi" w:hAnsiTheme="minorHAnsi" w:cstheme="minorHAnsi"/>
          <w:bCs/>
        </w:rPr>
      </w:pPr>
      <w:proofErr w:type="spellStart"/>
      <w:r>
        <w:rPr>
          <w:rFonts w:asciiTheme="minorHAnsi" w:hAnsiTheme="minorHAnsi" w:cstheme="minorHAnsi"/>
          <w:bCs/>
        </w:rPr>
        <w:t>Greville</w:t>
      </w:r>
      <w:proofErr w:type="spellEnd"/>
      <w:r>
        <w:rPr>
          <w:rFonts w:asciiTheme="minorHAnsi" w:hAnsiTheme="minorHAnsi" w:cstheme="minorHAnsi"/>
          <w:bCs/>
        </w:rPr>
        <w:t xml:space="preserve"> Rumble’s </w:t>
      </w:r>
      <w:r w:rsidR="000A0229">
        <w:rPr>
          <w:rFonts w:asciiTheme="minorHAnsi" w:hAnsiTheme="minorHAnsi" w:cstheme="minorHAnsi"/>
          <w:bCs/>
        </w:rPr>
        <w:t xml:space="preserve">visit is definitely </w:t>
      </w:r>
      <w:r w:rsidR="002123AB">
        <w:rPr>
          <w:rFonts w:asciiTheme="minorHAnsi" w:hAnsiTheme="minorHAnsi" w:cstheme="minorHAnsi"/>
          <w:bCs/>
        </w:rPr>
        <w:t xml:space="preserve">one of the </w:t>
      </w:r>
      <w:r w:rsidR="000A0229">
        <w:rPr>
          <w:rFonts w:asciiTheme="minorHAnsi" w:hAnsiTheme="minorHAnsi" w:cstheme="minorHAnsi"/>
          <w:bCs/>
        </w:rPr>
        <w:t xml:space="preserve">high points for me in this class. The same </w:t>
      </w:r>
      <w:r w:rsidR="00D535B7">
        <w:rPr>
          <w:rFonts w:asciiTheme="minorHAnsi" w:hAnsiTheme="minorHAnsi" w:cstheme="minorHAnsi"/>
          <w:bCs/>
        </w:rPr>
        <w:t xml:space="preserve">clear, </w:t>
      </w:r>
      <w:r w:rsidR="002123AB">
        <w:rPr>
          <w:rFonts w:asciiTheme="minorHAnsi" w:hAnsiTheme="minorHAnsi" w:cstheme="minorHAnsi"/>
          <w:bCs/>
        </w:rPr>
        <w:t>thorough, straight forward</w:t>
      </w:r>
      <w:r w:rsidR="00D535B7">
        <w:rPr>
          <w:rFonts w:asciiTheme="minorHAnsi" w:hAnsiTheme="minorHAnsi" w:cstheme="minorHAnsi"/>
          <w:bCs/>
        </w:rPr>
        <w:t xml:space="preserve"> discourse </w:t>
      </w:r>
      <w:r w:rsidR="002123AB">
        <w:rPr>
          <w:rFonts w:asciiTheme="minorHAnsi" w:hAnsiTheme="minorHAnsi" w:cstheme="minorHAnsi"/>
          <w:bCs/>
        </w:rPr>
        <w:t>I’ve come to enjoy in his book was very much evident in his posts</w:t>
      </w:r>
      <w:r>
        <w:rPr>
          <w:rFonts w:asciiTheme="minorHAnsi" w:hAnsiTheme="minorHAnsi" w:cstheme="minorHAnsi"/>
          <w:bCs/>
        </w:rPr>
        <w:t xml:space="preserve">. </w:t>
      </w:r>
      <w:r w:rsidR="00D535B7">
        <w:rPr>
          <w:rFonts w:asciiTheme="minorHAnsi" w:hAnsiTheme="minorHAnsi" w:cstheme="minorHAnsi"/>
          <w:bCs/>
        </w:rPr>
        <w:t xml:space="preserve">I particularly enjoyed the discussions he would have with Thomas as we would benefit from their differing perspectives. </w:t>
      </w:r>
      <w:r>
        <w:rPr>
          <w:rFonts w:asciiTheme="minorHAnsi" w:hAnsiTheme="minorHAnsi" w:cstheme="minorHAnsi"/>
          <w:bCs/>
        </w:rPr>
        <w:t>He was very gracious</w:t>
      </w:r>
      <w:r w:rsidR="000E5F3F">
        <w:rPr>
          <w:rFonts w:asciiTheme="minorHAnsi" w:hAnsiTheme="minorHAnsi" w:cstheme="minorHAnsi"/>
          <w:bCs/>
        </w:rPr>
        <w:t xml:space="preserve"> with his replies</w:t>
      </w:r>
      <w:r>
        <w:rPr>
          <w:rFonts w:asciiTheme="minorHAnsi" w:hAnsiTheme="minorHAnsi" w:cstheme="minorHAnsi"/>
          <w:bCs/>
        </w:rPr>
        <w:t xml:space="preserve"> even though I </w:t>
      </w:r>
      <w:r w:rsidR="000E5F3F">
        <w:rPr>
          <w:rFonts w:asciiTheme="minorHAnsi" w:hAnsiTheme="minorHAnsi" w:cstheme="minorHAnsi"/>
          <w:bCs/>
        </w:rPr>
        <w:t xml:space="preserve">continually </w:t>
      </w:r>
      <w:r>
        <w:rPr>
          <w:rFonts w:asciiTheme="minorHAnsi" w:hAnsiTheme="minorHAnsi" w:cstheme="minorHAnsi"/>
          <w:bCs/>
        </w:rPr>
        <w:t xml:space="preserve">misspelled his name </w:t>
      </w:r>
      <w:r w:rsidR="002123AB" w:rsidRPr="002123AB">
        <w:rPr>
          <w:rFonts w:asciiTheme="minorHAnsi" w:hAnsiTheme="minorHAnsi" w:cstheme="minorHAnsi"/>
          <w:bCs/>
        </w:rPr>
        <w:sym w:font="Wingdings" w:char="F04A"/>
      </w:r>
    </w:p>
    <w:p w:rsidR="002123AB" w:rsidRPr="00731746" w:rsidRDefault="00D535B7" w:rsidP="00731746">
      <w:pPr>
        <w:rPr>
          <w:rFonts w:asciiTheme="minorHAnsi" w:hAnsiTheme="minorHAnsi" w:cstheme="minorHAnsi"/>
          <w:bCs/>
        </w:rPr>
      </w:pPr>
      <w:r>
        <w:rPr>
          <w:rFonts w:asciiTheme="minorHAnsi" w:hAnsiTheme="minorHAnsi" w:cstheme="minorHAnsi"/>
          <w:bCs/>
        </w:rPr>
        <w:t xml:space="preserve">My second highlight has been the start of the group assignments. Mary </w:t>
      </w:r>
      <w:r w:rsidR="000E5F3F">
        <w:rPr>
          <w:rFonts w:asciiTheme="minorHAnsi" w:hAnsiTheme="minorHAnsi" w:cstheme="minorHAnsi"/>
          <w:bCs/>
        </w:rPr>
        <w:t>Anne took the lead and started the discussion. Within 24 hours every team member had not only checked in but asked germane questions and made significant contributions. I found it ironic that we I saw the official get started post from the teaching tea</w:t>
      </w:r>
      <w:r w:rsidR="00097025">
        <w:rPr>
          <w:rFonts w:asciiTheme="minorHAnsi" w:hAnsiTheme="minorHAnsi" w:cstheme="minorHAnsi"/>
          <w:bCs/>
        </w:rPr>
        <w:t>m</w:t>
      </w:r>
      <w:r w:rsidR="000E5F3F">
        <w:rPr>
          <w:rFonts w:asciiTheme="minorHAnsi" w:hAnsiTheme="minorHAnsi" w:cstheme="minorHAnsi"/>
          <w:bCs/>
        </w:rPr>
        <w:t>, our team had already gotten the ball well and truly rolling.</w:t>
      </w:r>
      <w:r w:rsidR="00097025">
        <w:rPr>
          <w:rFonts w:asciiTheme="minorHAnsi" w:hAnsiTheme="minorHAnsi" w:cstheme="minorHAnsi"/>
          <w:bCs/>
        </w:rPr>
        <w:t xml:space="preserve"> Way to go team 2!</w:t>
      </w:r>
    </w:p>
    <w:p w:rsidR="006220A9" w:rsidRDefault="006220A9">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BC7C6C" w:rsidRPr="008E592C" w:rsidTr="006C7EBB">
        <w:tc>
          <w:tcPr>
            <w:tcW w:w="2898" w:type="dxa"/>
          </w:tcPr>
          <w:p w:rsidR="00BC7C6C" w:rsidRDefault="00BC7C6C" w:rsidP="006C7EBB">
            <w:pPr>
              <w:pStyle w:val="Heading2"/>
              <w:outlineLvl w:val="1"/>
            </w:pPr>
            <w:r>
              <w:lastRenderedPageBreak/>
              <w:t>Entry Title (Number)</w:t>
            </w:r>
          </w:p>
        </w:tc>
        <w:tc>
          <w:tcPr>
            <w:tcW w:w="6678" w:type="dxa"/>
          </w:tcPr>
          <w:p w:rsidR="00BC7C6C" w:rsidRPr="008E592C" w:rsidRDefault="00BC7C6C" w:rsidP="006C7EBB">
            <w:pPr>
              <w:pStyle w:val="Heading2"/>
              <w:outlineLvl w:val="1"/>
              <w:rPr>
                <w:b w:val="0"/>
              </w:rPr>
            </w:pPr>
            <w:r>
              <w:rPr>
                <w:b w:val="0"/>
                <w:color w:val="000000" w:themeColor="text1"/>
              </w:rPr>
              <w:t>Distance Education Challenges (#5)</w:t>
            </w:r>
          </w:p>
        </w:tc>
      </w:tr>
      <w:tr w:rsidR="00BC7C6C" w:rsidRPr="008E592C" w:rsidTr="006C7EBB">
        <w:tc>
          <w:tcPr>
            <w:tcW w:w="2898" w:type="dxa"/>
          </w:tcPr>
          <w:p w:rsidR="00BC7C6C" w:rsidRDefault="00BC7C6C" w:rsidP="006C7EBB">
            <w:pPr>
              <w:pStyle w:val="Heading2"/>
              <w:outlineLvl w:val="1"/>
            </w:pPr>
            <w:r>
              <w:t>Date</w:t>
            </w:r>
          </w:p>
        </w:tc>
        <w:tc>
          <w:tcPr>
            <w:tcW w:w="6678" w:type="dxa"/>
          </w:tcPr>
          <w:p w:rsidR="00BC7C6C" w:rsidRPr="008E592C" w:rsidRDefault="00B14329" w:rsidP="006C7EBB">
            <w:pPr>
              <w:pStyle w:val="Heading2"/>
              <w:outlineLvl w:val="1"/>
              <w:rPr>
                <w:b w:val="0"/>
                <w:color w:val="000000" w:themeColor="text1"/>
              </w:rPr>
            </w:pPr>
            <w:r>
              <w:rPr>
                <w:b w:val="0"/>
                <w:color w:val="000000" w:themeColor="text1"/>
              </w:rPr>
              <w:t>21</w:t>
            </w:r>
            <w:r w:rsidR="00BC7C6C">
              <w:rPr>
                <w:b w:val="0"/>
                <w:color w:val="000000" w:themeColor="text1"/>
              </w:rPr>
              <w:t>-Mar-2015</w:t>
            </w:r>
          </w:p>
        </w:tc>
      </w:tr>
      <w:tr w:rsidR="00BC7C6C" w:rsidRPr="008E592C" w:rsidTr="006C7EBB">
        <w:tc>
          <w:tcPr>
            <w:tcW w:w="2898" w:type="dxa"/>
          </w:tcPr>
          <w:p w:rsidR="00BC7C6C" w:rsidRDefault="00BC7C6C" w:rsidP="006C7EBB">
            <w:pPr>
              <w:pStyle w:val="Heading2"/>
              <w:outlineLvl w:val="1"/>
            </w:pPr>
            <w:r>
              <w:t>Course/Module</w:t>
            </w:r>
          </w:p>
        </w:tc>
        <w:tc>
          <w:tcPr>
            <w:tcW w:w="6678" w:type="dxa"/>
          </w:tcPr>
          <w:p w:rsidR="00BC7C6C" w:rsidRPr="008E592C" w:rsidRDefault="00BC7C6C" w:rsidP="006C7EBB">
            <w:pPr>
              <w:pStyle w:val="Heading2"/>
              <w:outlineLvl w:val="1"/>
              <w:rPr>
                <w:b w:val="0"/>
                <w:color w:val="000000" w:themeColor="text1"/>
              </w:rPr>
            </w:pPr>
            <w:r>
              <w:rPr>
                <w:b w:val="0"/>
                <w:color w:val="000000" w:themeColor="text1"/>
              </w:rPr>
              <w:t xml:space="preserve">OMDE606, </w:t>
            </w:r>
            <w:r w:rsidRPr="00BC7C6C">
              <w:rPr>
                <w:b w:val="0"/>
                <w:color w:val="000000" w:themeColor="text1"/>
              </w:rPr>
              <w:t>Cost Effectiveness of DE Institutions</w:t>
            </w:r>
          </w:p>
        </w:tc>
      </w:tr>
    </w:tbl>
    <w:p w:rsidR="00BC7C6C" w:rsidRDefault="00BC7C6C">
      <w:pPr>
        <w:rPr>
          <w:rFonts w:asciiTheme="minorHAnsi" w:hAnsiTheme="minorHAnsi" w:cstheme="minorHAnsi"/>
          <w:bCs/>
        </w:rPr>
      </w:pPr>
    </w:p>
    <w:p w:rsidR="003555D5" w:rsidRPr="003555D5" w:rsidRDefault="003555D5">
      <w:pPr>
        <w:rPr>
          <w:rFonts w:asciiTheme="minorHAnsi" w:hAnsiTheme="minorHAnsi" w:cstheme="minorHAnsi"/>
          <w:bCs/>
        </w:rPr>
      </w:pPr>
      <w:r>
        <w:rPr>
          <w:rFonts w:asciiTheme="minorHAnsi" w:hAnsiTheme="minorHAnsi" w:cstheme="minorHAnsi"/>
          <w:bCs/>
          <w:noProof/>
        </w:rPr>
        <w:drawing>
          <wp:inline distT="0" distB="0" distL="0" distR="0">
            <wp:extent cx="10001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Guri.jpg"/>
                    <pic:cNvPicPr/>
                  </pic:nvPicPr>
                  <pic:blipFill>
                    <a:blip r:embed="rId13">
                      <a:extLst>
                        <a:ext uri="{28A0092B-C50C-407E-A947-70E740481C1C}">
                          <a14:useLocalDpi xmlns:a14="http://schemas.microsoft.com/office/drawing/2010/main" val="0"/>
                        </a:ext>
                      </a:extLst>
                    </a:blip>
                    <a:stretch>
                      <a:fillRect/>
                    </a:stretch>
                  </pic:blipFill>
                  <pic:spPr>
                    <a:xfrm>
                      <a:off x="0" y="0"/>
                      <a:ext cx="1000125" cy="1304925"/>
                    </a:xfrm>
                    <a:prstGeom prst="rect">
                      <a:avLst/>
                    </a:prstGeom>
                  </pic:spPr>
                </pic:pic>
              </a:graphicData>
            </a:graphic>
          </wp:inline>
        </w:drawing>
      </w:r>
    </w:p>
    <w:p w:rsidR="004358DB" w:rsidRPr="004358DB" w:rsidRDefault="004358DB">
      <w:pPr>
        <w:rPr>
          <w:rFonts w:asciiTheme="minorHAnsi" w:hAnsiTheme="minorHAnsi" w:cstheme="minorHAnsi"/>
          <w:bCs/>
          <w:i/>
        </w:rPr>
      </w:pPr>
      <w:r w:rsidRPr="004358DB">
        <w:rPr>
          <w:rFonts w:asciiTheme="minorHAnsi" w:hAnsiTheme="minorHAnsi" w:cstheme="minorHAnsi"/>
          <w:bCs/>
          <w:i/>
        </w:rPr>
        <w:t xml:space="preserve">Picture Courtesy of </w:t>
      </w:r>
      <w:proofErr w:type="gramStart"/>
      <w:r w:rsidRPr="004358DB">
        <w:rPr>
          <w:rFonts w:asciiTheme="minorHAnsi" w:hAnsiTheme="minorHAnsi" w:cstheme="minorHAnsi"/>
          <w:bCs/>
          <w:i/>
        </w:rPr>
        <w:t>The</w:t>
      </w:r>
      <w:proofErr w:type="gramEnd"/>
      <w:r w:rsidRPr="004358DB">
        <w:rPr>
          <w:rFonts w:asciiTheme="minorHAnsi" w:hAnsiTheme="minorHAnsi" w:cstheme="minorHAnsi"/>
          <w:bCs/>
          <w:i/>
        </w:rPr>
        <w:t xml:space="preserve"> Open University of </w:t>
      </w:r>
      <w:proofErr w:type="spellStart"/>
      <w:r w:rsidRPr="004358DB">
        <w:rPr>
          <w:rFonts w:asciiTheme="minorHAnsi" w:hAnsiTheme="minorHAnsi" w:cstheme="minorHAnsi"/>
          <w:bCs/>
          <w:i/>
        </w:rPr>
        <w:t>Isreal</w:t>
      </w:r>
      <w:proofErr w:type="spellEnd"/>
    </w:p>
    <w:p w:rsidR="002E13A6" w:rsidRDefault="002E13A6">
      <w:pPr>
        <w:rPr>
          <w:rFonts w:asciiTheme="minorHAnsi" w:hAnsiTheme="minorHAnsi" w:cstheme="minorHAnsi"/>
          <w:bCs/>
        </w:rPr>
      </w:pPr>
      <w:r>
        <w:rPr>
          <w:rFonts w:asciiTheme="minorHAnsi" w:hAnsiTheme="minorHAnsi" w:cstheme="minorHAnsi"/>
          <w:bCs/>
        </w:rPr>
        <w:t xml:space="preserve">I found some of the insights from the </w:t>
      </w:r>
      <w:proofErr w:type="spellStart"/>
      <w:r>
        <w:rPr>
          <w:rFonts w:asciiTheme="minorHAnsi" w:hAnsiTheme="minorHAnsi" w:cstheme="minorHAnsi"/>
          <w:bCs/>
        </w:rPr>
        <w:t>Guri-Rosenbilt</w:t>
      </w:r>
      <w:proofErr w:type="spellEnd"/>
      <w:r>
        <w:rPr>
          <w:rFonts w:asciiTheme="minorHAnsi" w:hAnsiTheme="minorHAnsi" w:cstheme="minorHAnsi"/>
          <w:bCs/>
        </w:rPr>
        <w:t xml:space="preserve"> video very interesting</w:t>
      </w:r>
      <w:r w:rsidR="004358DB">
        <w:rPr>
          <w:rFonts w:asciiTheme="minorHAnsi" w:hAnsiTheme="minorHAnsi" w:cstheme="minorHAnsi"/>
          <w:bCs/>
        </w:rPr>
        <w:t>.</w:t>
      </w:r>
    </w:p>
    <w:p w:rsidR="002E13A6" w:rsidRDefault="002E13A6">
      <w:pPr>
        <w:rPr>
          <w:rFonts w:asciiTheme="minorHAnsi" w:hAnsiTheme="minorHAnsi" w:cstheme="minorHAnsi"/>
        </w:rPr>
      </w:pPr>
      <w:r>
        <w:rPr>
          <w:rFonts w:asciiTheme="minorHAnsi" w:hAnsiTheme="minorHAnsi" w:cstheme="minorHAnsi"/>
          <w:bCs/>
        </w:rPr>
        <w:t>The first was that t</w:t>
      </w:r>
      <w:r w:rsidRPr="002E13A6">
        <w:rPr>
          <w:rFonts w:asciiTheme="minorHAnsi" w:hAnsiTheme="minorHAnsi" w:cstheme="minorHAnsi"/>
          <w:bCs/>
        </w:rPr>
        <w:t xml:space="preserve">eaching was the primary focus of conventional education until the 19th century </w:t>
      </w:r>
      <w:r>
        <w:rPr>
          <w:rFonts w:asciiTheme="minorHAnsi" w:hAnsiTheme="minorHAnsi" w:cstheme="minorHAnsi"/>
          <w:bCs/>
        </w:rPr>
        <w:t>(</w:t>
      </w:r>
      <w:proofErr w:type="spellStart"/>
      <w:r w:rsidRPr="002E13A6">
        <w:rPr>
          <w:rFonts w:asciiTheme="minorHAnsi" w:hAnsiTheme="minorHAnsi" w:cstheme="minorHAnsi"/>
          <w:bCs/>
        </w:rPr>
        <w:t>Guri-Rosenblit</w:t>
      </w:r>
      <w:proofErr w:type="spellEnd"/>
      <w:r>
        <w:rPr>
          <w:rFonts w:asciiTheme="minorHAnsi" w:hAnsiTheme="minorHAnsi" w:cstheme="minorHAnsi"/>
          <w:bCs/>
        </w:rPr>
        <w:t xml:space="preserve">, 2008). </w:t>
      </w:r>
      <w:r w:rsidR="008B0BF2">
        <w:rPr>
          <w:rFonts w:asciiTheme="minorHAnsi" w:hAnsiTheme="minorHAnsi" w:cstheme="minorHAnsi"/>
          <w:bCs/>
        </w:rPr>
        <w:t>Ironic since</w:t>
      </w:r>
      <w:r w:rsidR="00F92262">
        <w:rPr>
          <w:rFonts w:asciiTheme="minorHAnsi" w:hAnsiTheme="minorHAnsi" w:cstheme="minorHAnsi"/>
          <w:bCs/>
        </w:rPr>
        <w:t xml:space="preserve"> today</w:t>
      </w:r>
      <w:r w:rsidR="008B0BF2">
        <w:rPr>
          <w:rFonts w:asciiTheme="minorHAnsi" w:hAnsiTheme="minorHAnsi" w:cstheme="minorHAnsi"/>
          <w:bCs/>
        </w:rPr>
        <w:t xml:space="preserve"> </w:t>
      </w:r>
      <w:r w:rsidR="00F92262">
        <w:rPr>
          <w:rFonts w:asciiTheme="minorHAnsi" w:hAnsiTheme="minorHAnsi" w:cstheme="minorHAnsi"/>
          <w:bCs/>
        </w:rPr>
        <w:t>research</w:t>
      </w:r>
      <w:r w:rsidR="008B0BF2">
        <w:rPr>
          <w:rFonts w:asciiTheme="minorHAnsi" w:hAnsiTheme="minorHAnsi" w:cstheme="minorHAnsi"/>
          <w:bCs/>
        </w:rPr>
        <w:t xml:space="preserve"> </w:t>
      </w:r>
      <w:r w:rsidR="00F92262">
        <w:rPr>
          <w:rFonts w:asciiTheme="minorHAnsi" w:hAnsiTheme="minorHAnsi" w:cstheme="minorHAnsi"/>
          <w:bCs/>
        </w:rPr>
        <w:t>is the culminating activity to obtain</w:t>
      </w:r>
      <w:r w:rsidR="008B0BF2">
        <w:rPr>
          <w:rFonts w:asciiTheme="minorHAnsi" w:hAnsiTheme="minorHAnsi" w:cstheme="minorHAnsi"/>
          <w:bCs/>
        </w:rPr>
        <w:t xml:space="preserve"> advanced </w:t>
      </w:r>
      <w:r w:rsidR="00F92262">
        <w:rPr>
          <w:rFonts w:asciiTheme="minorHAnsi" w:hAnsiTheme="minorHAnsi" w:cstheme="minorHAnsi"/>
          <w:bCs/>
        </w:rPr>
        <w:t>degrees, not</w:t>
      </w:r>
      <w:r w:rsidR="008B0BF2">
        <w:rPr>
          <w:rFonts w:asciiTheme="minorHAnsi" w:hAnsiTheme="minorHAnsi" w:cstheme="minorHAnsi"/>
          <w:bCs/>
        </w:rPr>
        <w:t xml:space="preserve"> teaching. However, t</w:t>
      </w:r>
      <w:r w:rsidR="00FD726E">
        <w:rPr>
          <w:rFonts w:asciiTheme="minorHAnsi" w:hAnsiTheme="minorHAnsi" w:cstheme="minorHAnsi"/>
          <w:bCs/>
        </w:rPr>
        <w:t>he timing</w:t>
      </w:r>
      <w:r w:rsidR="00F92262">
        <w:rPr>
          <w:rFonts w:asciiTheme="minorHAnsi" w:hAnsiTheme="minorHAnsi" w:cstheme="minorHAnsi"/>
          <w:bCs/>
        </w:rPr>
        <w:t xml:space="preserve"> for the rise of research</w:t>
      </w:r>
      <w:r w:rsidR="00FD726E">
        <w:rPr>
          <w:rFonts w:asciiTheme="minorHAnsi" w:hAnsiTheme="minorHAnsi" w:cstheme="minorHAnsi"/>
          <w:bCs/>
        </w:rPr>
        <w:t xml:space="preserve"> makes a lot of sense </w:t>
      </w:r>
      <w:r w:rsidR="00F92262">
        <w:rPr>
          <w:rFonts w:asciiTheme="minorHAnsi" w:hAnsiTheme="minorHAnsi" w:cstheme="minorHAnsi"/>
          <w:bCs/>
        </w:rPr>
        <w:t>as</w:t>
      </w:r>
      <w:r w:rsidR="00FD726E">
        <w:rPr>
          <w:rFonts w:asciiTheme="minorHAnsi" w:hAnsiTheme="minorHAnsi" w:cstheme="minorHAnsi"/>
        </w:rPr>
        <w:t xml:space="preserve"> positivism emerged in the 19</w:t>
      </w:r>
      <w:r w:rsidR="00FD726E" w:rsidRPr="00FD726E">
        <w:rPr>
          <w:rFonts w:asciiTheme="minorHAnsi" w:hAnsiTheme="minorHAnsi" w:cstheme="minorHAnsi"/>
          <w:vertAlign w:val="superscript"/>
        </w:rPr>
        <w:t>th</w:t>
      </w:r>
      <w:r w:rsidR="00FD726E">
        <w:rPr>
          <w:rFonts w:asciiTheme="minorHAnsi" w:hAnsiTheme="minorHAnsi" w:cstheme="minorHAnsi"/>
        </w:rPr>
        <w:t xml:space="preserve"> century (</w:t>
      </w:r>
      <w:proofErr w:type="spellStart"/>
      <w:r w:rsidR="00FD726E">
        <w:rPr>
          <w:rFonts w:asciiTheme="minorHAnsi" w:hAnsiTheme="minorHAnsi" w:cstheme="minorHAnsi"/>
        </w:rPr>
        <w:t>Harasim</w:t>
      </w:r>
      <w:proofErr w:type="spellEnd"/>
      <w:r w:rsidR="00FD726E">
        <w:rPr>
          <w:rFonts w:asciiTheme="minorHAnsi" w:hAnsiTheme="minorHAnsi" w:cstheme="minorHAnsi"/>
        </w:rPr>
        <w:t>, 2011). Positivism was responsible for the development of theories that ask “why?” or “how?” and then seeks to answer those questions through evidence based study, drawing on empirical data and verifiable facts (</w:t>
      </w:r>
      <w:proofErr w:type="spellStart"/>
      <w:r w:rsidR="00FD726E">
        <w:rPr>
          <w:rFonts w:asciiTheme="minorHAnsi" w:hAnsiTheme="minorHAnsi" w:cstheme="minorHAnsi"/>
        </w:rPr>
        <w:t>Harasim</w:t>
      </w:r>
      <w:proofErr w:type="spellEnd"/>
      <w:r w:rsidR="00FD726E">
        <w:rPr>
          <w:rFonts w:asciiTheme="minorHAnsi" w:hAnsiTheme="minorHAnsi" w:cstheme="minorHAnsi"/>
        </w:rPr>
        <w:t xml:space="preserve">, 2011). </w:t>
      </w:r>
    </w:p>
    <w:p w:rsidR="00FD726E" w:rsidRPr="002E13A6" w:rsidRDefault="00FD726E">
      <w:pPr>
        <w:rPr>
          <w:rFonts w:asciiTheme="minorHAnsi" w:hAnsiTheme="minorHAnsi" w:cstheme="minorHAnsi"/>
          <w:bCs/>
        </w:rPr>
      </w:pPr>
      <w:r>
        <w:rPr>
          <w:rFonts w:asciiTheme="minorHAnsi" w:hAnsiTheme="minorHAnsi" w:cstheme="minorHAnsi"/>
          <w:bCs/>
        </w:rPr>
        <w:t>The second</w:t>
      </w:r>
      <w:r w:rsidR="00F92262">
        <w:rPr>
          <w:rFonts w:asciiTheme="minorHAnsi" w:hAnsiTheme="minorHAnsi" w:cstheme="minorHAnsi"/>
          <w:bCs/>
        </w:rPr>
        <w:t xml:space="preserve"> insight was an interesting contradiction</w:t>
      </w:r>
      <w:r w:rsidR="005D3ED5">
        <w:rPr>
          <w:rFonts w:asciiTheme="minorHAnsi" w:hAnsiTheme="minorHAnsi" w:cstheme="minorHAnsi"/>
          <w:bCs/>
        </w:rPr>
        <w:t xml:space="preserve">. </w:t>
      </w:r>
      <w:proofErr w:type="spellStart"/>
      <w:r w:rsidR="00F92262">
        <w:rPr>
          <w:rFonts w:asciiTheme="minorHAnsi" w:hAnsiTheme="minorHAnsi" w:cstheme="minorHAnsi"/>
          <w:bCs/>
        </w:rPr>
        <w:t>Guri-Rosenbilt</w:t>
      </w:r>
      <w:proofErr w:type="spellEnd"/>
      <w:r w:rsidR="00F92262">
        <w:rPr>
          <w:rFonts w:asciiTheme="minorHAnsi" w:hAnsiTheme="minorHAnsi" w:cstheme="minorHAnsi"/>
          <w:bCs/>
        </w:rPr>
        <w:t xml:space="preserve"> (2008) talks of how Distance Teaching </w:t>
      </w:r>
      <w:proofErr w:type="gramStart"/>
      <w:r w:rsidR="00F92262">
        <w:rPr>
          <w:rFonts w:asciiTheme="minorHAnsi" w:hAnsiTheme="minorHAnsi" w:cstheme="minorHAnsi"/>
          <w:bCs/>
        </w:rPr>
        <w:t>are</w:t>
      </w:r>
      <w:proofErr w:type="gramEnd"/>
      <w:r w:rsidR="005D3ED5">
        <w:rPr>
          <w:rFonts w:asciiTheme="minorHAnsi" w:hAnsiTheme="minorHAnsi" w:cstheme="minorHAnsi"/>
          <w:bCs/>
        </w:rPr>
        <w:t xml:space="preserve"> expanding from their local area to the</w:t>
      </w:r>
      <w:r w:rsidR="00F92262">
        <w:rPr>
          <w:rFonts w:asciiTheme="minorHAnsi" w:hAnsiTheme="minorHAnsi" w:cstheme="minorHAnsi"/>
          <w:bCs/>
        </w:rPr>
        <w:t xml:space="preserve"> global market</w:t>
      </w:r>
      <w:r w:rsidR="00F508DC">
        <w:rPr>
          <w:rFonts w:asciiTheme="minorHAnsi" w:hAnsiTheme="minorHAnsi" w:cstheme="minorHAnsi"/>
          <w:bCs/>
        </w:rPr>
        <w:t xml:space="preserve"> and that English is the language of the academic </w:t>
      </w:r>
      <w:r w:rsidR="00E961E7">
        <w:rPr>
          <w:rFonts w:asciiTheme="minorHAnsi" w:hAnsiTheme="minorHAnsi" w:cstheme="minorHAnsi"/>
          <w:bCs/>
        </w:rPr>
        <w:t>instruction and research</w:t>
      </w:r>
      <w:r w:rsidR="00F508DC">
        <w:rPr>
          <w:rFonts w:asciiTheme="minorHAnsi" w:hAnsiTheme="minorHAnsi" w:cstheme="minorHAnsi"/>
          <w:bCs/>
        </w:rPr>
        <w:t>. A fact which is not really based on language statistics - there are more Chinese and Spanish speakers than English speakers (</w:t>
      </w:r>
      <w:r w:rsidR="00F508DC" w:rsidRPr="00F508DC">
        <w:rPr>
          <w:rFonts w:asciiTheme="minorHAnsi" w:hAnsiTheme="minorHAnsi" w:cstheme="minorHAnsi"/>
          <w:bCs/>
        </w:rPr>
        <w:t>https://www.ethnologue.com/statistics/size</w:t>
      </w:r>
      <w:r w:rsidR="00F508DC">
        <w:rPr>
          <w:rFonts w:asciiTheme="minorHAnsi" w:hAnsiTheme="minorHAnsi" w:cstheme="minorHAnsi"/>
          <w:bCs/>
        </w:rPr>
        <w:t>).</w:t>
      </w:r>
    </w:p>
    <w:p w:rsidR="002E13A6" w:rsidRPr="002E13A6" w:rsidRDefault="002E13A6" w:rsidP="002E13A6">
      <w:pPr>
        <w:spacing w:after="120"/>
        <w:rPr>
          <w:rFonts w:asciiTheme="minorHAnsi" w:hAnsiTheme="minorHAnsi" w:cstheme="minorHAnsi"/>
          <w:b/>
        </w:rPr>
      </w:pPr>
      <w:r w:rsidRPr="002E13A6">
        <w:rPr>
          <w:rFonts w:asciiTheme="minorHAnsi" w:hAnsiTheme="minorHAnsi" w:cstheme="minorHAnsi"/>
          <w:b/>
        </w:rPr>
        <w:t>REFERENCES</w:t>
      </w:r>
    </w:p>
    <w:p w:rsidR="00FD726E" w:rsidRDefault="00BC7C6C">
      <w:pPr>
        <w:rPr>
          <w:bCs/>
        </w:rPr>
      </w:pPr>
      <w:proofErr w:type="spellStart"/>
      <w:proofErr w:type="gramStart"/>
      <w:r w:rsidRPr="002E13A6">
        <w:rPr>
          <w:rFonts w:asciiTheme="minorHAnsi" w:hAnsiTheme="minorHAnsi" w:cstheme="minorHAnsi"/>
          <w:bCs/>
        </w:rPr>
        <w:t>Guri-Rosenblit</w:t>
      </w:r>
      <w:proofErr w:type="spellEnd"/>
      <w:r w:rsidRPr="002E13A6">
        <w:rPr>
          <w:rFonts w:asciiTheme="minorHAnsi" w:hAnsiTheme="minorHAnsi" w:cstheme="minorHAnsi"/>
          <w:bCs/>
        </w:rPr>
        <w:t>, S. (2008).</w:t>
      </w:r>
      <w:proofErr w:type="gramEnd"/>
      <w:r w:rsidRPr="002E13A6">
        <w:rPr>
          <w:rFonts w:asciiTheme="minorHAnsi" w:hAnsiTheme="minorHAnsi" w:cstheme="minorHAnsi"/>
          <w:bCs/>
        </w:rPr>
        <w:t xml:space="preserve"> Challenges Facing Distance Education in the 21st Century: Implications for setting the research agenda. Paper presented at the 5th EDEN Research Workshop, Paris. Retrieved from </w:t>
      </w:r>
      <w:r w:rsidR="00FD726E" w:rsidRPr="00FD726E">
        <w:rPr>
          <w:rFonts w:asciiTheme="minorHAnsi" w:hAnsiTheme="minorHAnsi" w:cstheme="minorHAnsi"/>
          <w:bCs/>
        </w:rPr>
        <w:t>mms://vod-dun.u-strasbg.fr/vod/2008/1020_eden/20081020_eden_guri.wmv</w:t>
      </w:r>
      <w:r w:rsidRPr="00BC7C6C">
        <w:rPr>
          <w:bCs/>
        </w:rPr>
        <w:t xml:space="preserve"> </w:t>
      </w:r>
    </w:p>
    <w:p w:rsidR="00BC7C6C" w:rsidRPr="00FD726E" w:rsidRDefault="00FD726E">
      <w:pPr>
        <w:rPr>
          <w:rFonts w:asciiTheme="minorHAnsi" w:hAnsiTheme="minorHAnsi" w:cstheme="minorHAnsi"/>
        </w:rPr>
      </w:pPr>
      <w:proofErr w:type="spellStart"/>
      <w:r w:rsidRPr="00FD726E">
        <w:rPr>
          <w:rFonts w:asciiTheme="minorHAnsi" w:hAnsiTheme="minorHAnsi" w:cstheme="minorHAnsi"/>
          <w:bCs/>
        </w:rPr>
        <w:t>Harasim</w:t>
      </w:r>
      <w:proofErr w:type="spellEnd"/>
      <w:r w:rsidRPr="00FD726E">
        <w:rPr>
          <w:rFonts w:asciiTheme="minorHAnsi" w:hAnsiTheme="minorHAnsi" w:cstheme="minorHAnsi"/>
          <w:bCs/>
        </w:rPr>
        <w:t xml:space="preserve">, L. (2011). </w:t>
      </w:r>
      <w:proofErr w:type="gramStart"/>
      <w:r w:rsidRPr="00FD726E">
        <w:rPr>
          <w:rFonts w:asciiTheme="minorHAnsi" w:hAnsiTheme="minorHAnsi" w:cstheme="minorHAnsi"/>
          <w:bCs/>
          <w:i/>
        </w:rPr>
        <w:t>Learning theory and online technologies</w:t>
      </w:r>
      <w:r w:rsidRPr="00FD726E">
        <w:rPr>
          <w:rFonts w:asciiTheme="minorHAnsi" w:hAnsiTheme="minorHAnsi" w:cstheme="minorHAnsi"/>
          <w:bCs/>
        </w:rPr>
        <w:t>.</w:t>
      </w:r>
      <w:proofErr w:type="gramEnd"/>
      <w:r w:rsidRPr="00FD726E">
        <w:rPr>
          <w:rFonts w:asciiTheme="minorHAnsi" w:hAnsiTheme="minorHAnsi" w:cstheme="minorHAnsi"/>
          <w:bCs/>
        </w:rPr>
        <w:t xml:space="preserve"> </w:t>
      </w:r>
      <w:proofErr w:type="spellStart"/>
      <w:proofErr w:type="gramStart"/>
      <w:r w:rsidRPr="00FD726E">
        <w:rPr>
          <w:rFonts w:asciiTheme="minorHAnsi" w:hAnsiTheme="minorHAnsi" w:cstheme="minorHAnsi"/>
          <w:bCs/>
        </w:rPr>
        <w:t>Routledge</w:t>
      </w:r>
      <w:proofErr w:type="spellEnd"/>
      <w:r w:rsidRPr="00FD726E">
        <w:rPr>
          <w:rFonts w:asciiTheme="minorHAnsi" w:hAnsiTheme="minorHAnsi" w:cstheme="minorHAnsi"/>
          <w:bCs/>
        </w:rPr>
        <w:t>, Taylor &amp; Francis Group.</w:t>
      </w:r>
      <w:proofErr w:type="gramEnd"/>
      <w:r w:rsidR="00BC7C6C" w:rsidRPr="00FD726E">
        <w:rPr>
          <w:rFonts w:asciiTheme="minorHAnsi" w:hAnsiTheme="minorHAnsi" w:cstheme="minorHAnsi"/>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1065B8" w:rsidTr="003E23B7">
        <w:tc>
          <w:tcPr>
            <w:tcW w:w="2898" w:type="dxa"/>
          </w:tcPr>
          <w:p w:rsidR="001065B8" w:rsidRDefault="001065B8" w:rsidP="003E23B7">
            <w:pPr>
              <w:pStyle w:val="Heading2"/>
              <w:outlineLvl w:val="1"/>
            </w:pPr>
            <w:r>
              <w:lastRenderedPageBreak/>
              <w:t>Entry Title (Number)</w:t>
            </w:r>
          </w:p>
        </w:tc>
        <w:tc>
          <w:tcPr>
            <w:tcW w:w="6678" w:type="dxa"/>
          </w:tcPr>
          <w:p w:rsidR="001065B8" w:rsidRPr="008E592C" w:rsidRDefault="00251A6D" w:rsidP="000E4D4F">
            <w:pPr>
              <w:pStyle w:val="Heading2"/>
              <w:outlineLvl w:val="1"/>
              <w:rPr>
                <w:b w:val="0"/>
              </w:rPr>
            </w:pPr>
            <w:r>
              <w:rPr>
                <w:b w:val="0"/>
                <w:color w:val="000000" w:themeColor="text1"/>
              </w:rPr>
              <w:t xml:space="preserve">Traditional vs. Activity Based </w:t>
            </w:r>
            <w:r w:rsidR="000E4D4F">
              <w:rPr>
                <w:b w:val="0"/>
                <w:color w:val="000000" w:themeColor="text1"/>
              </w:rPr>
              <w:t>Costing</w:t>
            </w:r>
            <w:r w:rsidR="001065B8">
              <w:rPr>
                <w:b w:val="0"/>
                <w:color w:val="000000" w:themeColor="text1"/>
              </w:rPr>
              <w:t xml:space="preserve"> (#4)</w:t>
            </w:r>
          </w:p>
        </w:tc>
      </w:tr>
      <w:tr w:rsidR="001065B8" w:rsidTr="003E23B7">
        <w:tc>
          <w:tcPr>
            <w:tcW w:w="2898" w:type="dxa"/>
          </w:tcPr>
          <w:p w:rsidR="001065B8" w:rsidRDefault="001065B8" w:rsidP="003E23B7">
            <w:pPr>
              <w:pStyle w:val="Heading2"/>
              <w:outlineLvl w:val="1"/>
            </w:pPr>
            <w:r>
              <w:t>Date</w:t>
            </w:r>
          </w:p>
        </w:tc>
        <w:tc>
          <w:tcPr>
            <w:tcW w:w="6678" w:type="dxa"/>
          </w:tcPr>
          <w:p w:rsidR="001065B8" w:rsidRPr="008E592C" w:rsidRDefault="001065B8" w:rsidP="003E23B7">
            <w:pPr>
              <w:pStyle w:val="Heading2"/>
              <w:outlineLvl w:val="1"/>
              <w:rPr>
                <w:b w:val="0"/>
                <w:color w:val="000000" w:themeColor="text1"/>
              </w:rPr>
            </w:pPr>
            <w:r>
              <w:rPr>
                <w:b w:val="0"/>
                <w:color w:val="000000" w:themeColor="text1"/>
              </w:rPr>
              <w:t>4-Mar-2015</w:t>
            </w:r>
          </w:p>
        </w:tc>
      </w:tr>
      <w:tr w:rsidR="001065B8" w:rsidTr="003E23B7">
        <w:tc>
          <w:tcPr>
            <w:tcW w:w="2898" w:type="dxa"/>
          </w:tcPr>
          <w:p w:rsidR="001065B8" w:rsidRDefault="001065B8" w:rsidP="003E23B7">
            <w:pPr>
              <w:pStyle w:val="Heading2"/>
              <w:outlineLvl w:val="1"/>
            </w:pPr>
            <w:r>
              <w:t>Course/Module</w:t>
            </w:r>
          </w:p>
        </w:tc>
        <w:tc>
          <w:tcPr>
            <w:tcW w:w="6678" w:type="dxa"/>
          </w:tcPr>
          <w:p w:rsidR="001065B8" w:rsidRPr="008E592C" w:rsidRDefault="001065B8" w:rsidP="003E23B7">
            <w:pPr>
              <w:pStyle w:val="Heading2"/>
              <w:outlineLvl w:val="1"/>
              <w:rPr>
                <w:b w:val="0"/>
                <w:color w:val="000000" w:themeColor="text1"/>
              </w:rPr>
            </w:pPr>
            <w:r>
              <w:rPr>
                <w:b w:val="0"/>
                <w:color w:val="000000" w:themeColor="text1"/>
              </w:rPr>
              <w:t>OMDE606, Techniques of Cost Analysis</w:t>
            </w:r>
          </w:p>
        </w:tc>
      </w:tr>
      <w:tr w:rsidR="001065B8" w:rsidTr="003E23B7">
        <w:tc>
          <w:tcPr>
            <w:tcW w:w="9576" w:type="dxa"/>
            <w:gridSpan w:val="2"/>
          </w:tcPr>
          <w:p w:rsidR="001065B8" w:rsidRPr="008E592C" w:rsidRDefault="001065B8" w:rsidP="003E23B7">
            <w:pPr>
              <w:pStyle w:val="Heading2"/>
              <w:outlineLvl w:val="1"/>
              <w:rPr>
                <w:b w:val="0"/>
                <w:color w:val="000000" w:themeColor="text1"/>
              </w:rPr>
            </w:pPr>
          </w:p>
        </w:tc>
      </w:tr>
    </w:tbl>
    <w:p w:rsidR="008E304C" w:rsidRDefault="008E304C" w:rsidP="008E304C">
      <w:pPr>
        <w:spacing w:after="0"/>
        <w:rPr>
          <w:rFonts w:asciiTheme="minorHAnsi" w:hAnsiTheme="minorHAnsi" w:cstheme="minorHAnsi"/>
        </w:rPr>
      </w:pPr>
    </w:p>
    <w:p w:rsidR="008E304C" w:rsidRDefault="008E304C" w:rsidP="001065B8">
      <w:pPr>
        <w:spacing w:after="0"/>
        <w:rPr>
          <w:rFonts w:asciiTheme="minorHAnsi" w:hAnsiTheme="minorHAnsi" w:cstheme="minorHAnsi"/>
        </w:rPr>
      </w:pPr>
      <w:r>
        <w:rPr>
          <w:rFonts w:asciiTheme="minorHAnsi" w:hAnsiTheme="minorHAnsi" w:cstheme="minorHAnsi"/>
          <w:noProof/>
        </w:rPr>
        <w:drawing>
          <wp:inline distT="0" distB="0" distL="0" distR="0">
            <wp:extent cx="5076825" cy="3552825"/>
            <wp:effectExtent l="0" t="0" r="9525" b="9525"/>
            <wp:docPr id="6" name="Picture 6" descr="C:\Users\Home\AppData\Local\Microsoft\Windows\Temporary Internet Files\Content.IE5\Y95TRFYA\Uruguay_vs._Peru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Microsoft\Windows\Temporary Internet Files\Content.IE5\Y95TRFYA\Uruguay_vs._Peru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3552825"/>
                    </a:xfrm>
                    <a:prstGeom prst="rect">
                      <a:avLst/>
                    </a:prstGeom>
                    <a:noFill/>
                    <a:ln>
                      <a:noFill/>
                    </a:ln>
                  </pic:spPr>
                </pic:pic>
              </a:graphicData>
            </a:graphic>
          </wp:inline>
        </w:drawing>
      </w:r>
    </w:p>
    <w:p w:rsidR="008E304C" w:rsidRDefault="008E304C" w:rsidP="001065B8">
      <w:pPr>
        <w:spacing w:after="0"/>
        <w:rPr>
          <w:rFonts w:asciiTheme="minorHAnsi" w:hAnsiTheme="minorHAnsi" w:cstheme="minorHAnsi"/>
        </w:rPr>
      </w:pPr>
    </w:p>
    <w:p w:rsidR="001065B8" w:rsidRDefault="00251A6D" w:rsidP="001065B8">
      <w:pPr>
        <w:spacing w:after="0"/>
        <w:rPr>
          <w:rFonts w:asciiTheme="minorHAnsi" w:hAnsiTheme="minorHAnsi" w:cstheme="minorHAnsi"/>
        </w:rPr>
      </w:pPr>
      <w:r>
        <w:rPr>
          <w:rFonts w:asciiTheme="minorHAnsi" w:hAnsiTheme="minorHAnsi" w:cstheme="minorHAnsi"/>
        </w:rPr>
        <w:t>Costs are caused by products in traditional accounting while activities cause costs in activity based accounting</w:t>
      </w:r>
      <w:r w:rsidR="001065B8">
        <w:rPr>
          <w:rFonts w:asciiTheme="minorHAnsi" w:hAnsiTheme="minorHAnsi" w:cstheme="minorHAnsi"/>
        </w:rPr>
        <w:t xml:space="preserve"> (Rumble, 1997).</w:t>
      </w:r>
      <w:r w:rsidR="001A4E4A">
        <w:rPr>
          <w:rFonts w:asciiTheme="minorHAnsi" w:hAnsiTheme="minorHAnsi" w:cstheme="minorHAnsi"/>
        </w:rPr>
        <w:t xml:space="preserve"> Since the focus is on activity, the relative value of those activities in relation to the value they provide to customers can be identified (Rumble, 1997). Overheads are also brought under more scrutiny (Rumble, 1997).</w:t>
      </w:r>
    </w:p>
    <w:p w:rsidR="00251A6D" w:rsidRDefault="00251A6D" w:rsidP="001065B8">
      <w:pPr>
        <w:spacing w:after="0"/>
        <w:rPr>
          <w:rFonts w:asciiTheme="minorHAnsi" w:hAnsiTheme="minorHAnsi" w:cstheme="minorHAnsi"/>
        </w:rPr>
      </w:pPr>
    </w:p>
    <w:p w:rsidR="004304BE" w:rsidRDefault="004304BE" w:rsidP="001065B8">
      <w:pPr>
        <w:spacing w:after="0"/>
        <w:rPr>
          <w:rFonts w:asciiTheme="minorHAnsi" w:hAnsiTheme="minorHAnsi" w:cstheme="minorHAnsi"/>
        </w:rPr>
      </w:pPr>
      <w:r>
        <w:rPr>
          <w:rFonts w:asciiTheme="minorHAnsi" w:hAnsiTheme="minorHAnsi" w:cstheme="minorHAnsi"/>
        </w:rPr>
        <w:t xml:space="preserve">Activity Based Costing </w:t>
      </w:r>
      <w:r w:rsidR="00B85244">
        <w:rPr>
          <w:rFonts w:asciiTheme="minorHAnsi" w:hAnsiTheme="minorHAnsi" w:cstheme="minorHAnsi"/>
        </w:rPr>
        <w:t xml:space="preserve">(ABC) </w:t>
      </w:r>
      <w:r w:rsidR="00DE0309">
        <w:rPr>
          <w:rFonts w:asciiTheme="minorHAnsi" w:hAnsiTheme="minorHAnsi" w:cstheme="minorHAnsi"/>
        </w:rPr>
        <w:t>exposes the relationships between activities and resource consumption and profits</w:t>
      </w:r>
      <w:r>
        <w:rPr>
          <w:rFonts w:asciiTheme="minorHAnsi" w:hAnsiTheme="minorHAnsi" w:cstheme="minorHAnsi"/>
        </w:rPr>
        <w:t xml:space="preserve"> (Cooper &amp; Kaplan, 1991).</w:t>
      </w:r>
      <w:r w:rsidR="00DE0309">
        <w:rPr>
          <w:rFonts w:asciiTheme="minorHAnsi" w:hAnsiTheme="minorHAnsi" w:cstheme="minorHAnsi"/>
        </w:rPr>
        <w:t xml:space="preserve"> </w:t>
      </w:r>
      <w:r w:rsidR="00B85244">
        <w:rPr>
          <w:rFonts w:asciiTheme="minorHAnsi" w:hAnsiTheme="minorHAnsi" w:cstheme="minorHAnsi"/>
        </w:rPr>
        <w:t>The how and why of improvements are explained by ABC (Cooper &amp; Kaplan, 1991).</w:t>
      </w:r>
      <w:r w:rsidR="0077793E">
        <w:rPr>
          <w:rFonts w:asciiTheme="minorHAnsi" w:hAnsiTheme="minorHAnsi" w:cstheme="minorHAnsi"/>
        </w:rPr>
        <w:t xml:space="preserve"> Profit analysis based on customer, product line, brands or regions are revealed though ABC (Cooper &amp; Kaplan, 1991). The data that ABC can provide to organizational leaders should be used “as a guide to </w:t>
      </w:r>
      <w:proofErr w:type="spellStart"/>
      <w:r w:rsidR="0077793E">
        <w:rPr>
          <w:rFonts w:asciiTheme="minorHAnsi" w:hAnsiTheme="minorHAnsi" w:cstheme="minorHAnsi"/>
        </w:rPr>
        <w:t>reprice</w:t>
      </w:r>
      <w:proofErr w:type="spellEnd"/>
      <w:r w:rsidR="0077793E">
        <w:rPr>
          <w:rFonts w:asciiTheme="minorHAnsi" w:hAnsiTheme="minorHAnsi" w:cstheme="minorHAnsi"/>
        </w:rPr>
        <w:t xml:space="preserve"> products or customer transactions, to alter product and customer mix, or to perform activities more efficiently” (Cooper &amp; Kaplan, 1991, p. 135).</w:t>
      </w:r>
    </w:p>
    <w:p w:rsidR="00A55ABC" w:rsidRDefault="00A55ABC" w:rsidP="001065B8">
      <w:pPr>
        <w:spacing w:after="0"/>
        <w:rPr>
          <w:rFonts w:asciiTheme="minorHAnsi" w:hAnsiTheme="minorHAnsi" w:cstheme="minorHAnsi"/>
        </w:rPr>
      </w:pPr>
    </w:p>
    <w:p w:rsidR="008E304C" w:rsidRDefault="00A55ABC" w:rsidP="001065B8">
      <w:pPr>
        <w:spacing w:after="0"/>
        <w:rPr>
          <w:rFonts w:asciiTheme="minorHAnsi" w:hAnsiTheme="minorHAnsi" w:cstheme="minorHAnsi"/>
        </w:rPr>
      </w:pPr>
      <w:r>
        <w:rPr>
          <w:rFonts w:asciiTheme="minorHAnsi" w:hAnsiTheme="minorHAnsi" w:cstheme="minorHAnsi"/>
        </w:rPr>
        <w:lastRenderedPageBreak/>
        <w:t xml:space="preserve"> </w:t>
      </w:r>
      <w:r w:rsidR="000E4D4F">
        <w:rPr>
          <w:rFonts w:asciiTheme="minorHAnsi" w:hAnsiTheme="minorHAnsi" w:cstheme="minorHAnsi"/>
        </w:rPr>
        <w:t>Ac</w:t>
      </w:r>
      <w:r w:rsidR="00A02CC2">
        <w:rPr>
          <w:rFonts w:asciiTheme="minorHAnsi" w:hAnsiTheme="minorHAnsi" w:cstheme="minorHAnsi"/>
        </w:rPr>
        <w:t>tivity</w:t>
      </w:r>
      <w:r>
        <w:rPr>
          <w:rFonts w:asciiTheme="minorHAnsi" w:hAnsiTheme="minorHAnsi" w:cstheme="minorHAnsi"/>
        </w:rPr>
        <w:t xml:space="preserve"> based costing</w:t>
      </w:r>
      <w:r w:rsidR="00A02CC2">
        <w:rPr>
          <w:rFonts w:asciiTheme="minorHAnsi" w:hAnsiTheme="minorHAnsi" w:cstheme="minorHAnsi"/>
        </w:rPr>
        <w:t xml:space="preserve"> was established in the late 20</w:t>
      </w:r>
      <w:r w:rsidR="00A02CC2" w:rsidRPr="00A02CC2">
        <w:rPr>
          <w:rFonts w:asciiTheme="minorHAnsi" w:hAnsiTheme="minorHAnsi" w:cstheme="minorHAnsi"/>
          <w:vertAlign w:val="superscript"/>
        </w:rPr>
        <w:t>th</w:t>
      </w:r>
      <w:r w:rsidR="00A02CC2">
        <w:rPr>
          <w:rFonts w:asciiTheme="minorHAnsi" w:hAnsiTheme="minorHAnsi" w:cstheme="minorHAnsi"/>
        </w:rPr>
        <w:t xml:space="preserve"> century (Wikipedia, 2015)</w:t>
      </w:r>
      <w:r w:rsidR="000E4D4F">
        <w:rPr>
          <w:rFonts w:asciiTheme="minorHAnsi" w:hAnsiTheme="minorHAnsi" w:cstheme="minorHAnsi"/>
        </w:rPr>
        <w:t xml:space="preserve"> and is the new kid on the block in contrast to t</w:t>
      </w:r>
      <w:r w:rsidR="00A02CC2">
        <w:rPr>
          <w:rFonts w:asciiTheme="minorHAnsi" w:hAnsiTheme="minorHAnsi" w:cstheme="minorHAnsi"/>
        </w:rPr>
        <w:t>raditional cost b</w:t>
      </w:r>
      <w:r w:rsidR="000E4D4F">
        <w:rPr>
          <w:rFonts w:asciiTheme="minorHAnsi" w:hAnsiTheme="minorHAnsi" w:cstheme="minorHAnsi"/>
        </w:rPr>
        <w:t>ased accounting. It will take time for protocols and procedure to build up around Activity based costing as well as it to earn its own place in the field of accountancy.</w:t>
      </w:r>
    </w:p>
    <w:p w:rsidR="00251A6D" w:rsidRDefault="00251A6D" w:rsidP="00251A6D">
      <w:pPr>
        <w:spacing w:after="0"/>
        <w:rPr>
          <w:rFonts w:asciiTheme="minorHAnsi" w:hAnsiTheme="minorHAnsi" w:cstheme="minorHAnsi"/>
        </w:rPr>
      </w:pPr>
    </w:p>
    <w:p w:rsidR="00251A6D" w:rsidRPr="00BC5288" w:rsidRDefault="00251A6D" w:rsidP="00251A6D">
      <w:pPr>
        <w:spacing w:after="120"/>
        <w:rPr>
          <w:rFonts w:asciiTheme="minorHAnsi" w:hAnsiTheme="minorHAnsi" w:cstheme="minorHAnsi"/>
          <w:b/>
        </w:rPr>
      </w:pPr>
      <w:r w:rsidRPr="00BC5288">
        <w:rPr>
          <w:rFonts w:asciiTheme="minorHAnsi" w:hAnsiTheme="minorHAnsi" w:cstheme="minorHAnsi"/>
          <w:b/>
        </w:rPr>
        <w:t>REFERENCES</w:t>
      </w:r>
    </w:p>
    <w:p w:rsidR="003D5E19" w:rsidRDefault="003D5E19" w:rsidP="00251A6D">
      <w:pPr>
        <w:ind w:left="720" w:hanging="720"/>
      </w:pPr>
      <w:proofErr w:type="gramStart"/>
      <w:r w:rsidRPr="003D5E19">
        <w:t>Cooper, R., &amp; Kaplan, R. S. (1991).</w:t>
      </w:r>
      <w:proofErr w:type="gramEnd"/>
      <w:r w:rsidRPr="003D5E19">
        <w:t xml:space="preserve"> </w:t>
      </w:r>
      <w:proofErr w:type="gramStart"/>
      <w:r w:rsidRPr="003D5E19">
        <w:t>Profit priorities from activity-based costing.</w:t>
      </w:r>
      <w:proofErr w:type="gramEnd"/>
      <w:r w:rsidRPr="003D5E19">
        <w:t xml:space="preserve"> </w:t>
      </w:r>
      <w:r w:rsidRPr="003D5E19">
        <w:rPr>
          <w:i/>
        </w:rPr>
        <w:t>Harvard Business Review, 69</w:t>
      </w:r>
      <w:r w:rsidRPr="003D5E19">
        <w:t>(3), 130-135.</w:t>
      </w:r>
      <w:r>
        <w:t xml:space="preserve"> Retrieved from </w:t>
      </w:r>
      <w:r w:rsidR="004304BE" w:rsidRPr="004304BE">
        <w:t>https://hbr.org/magazine</w:t>
      </w:r>
    </w:p>
    <w:p w:rsidR="00251A6D" w:rsidRDefault="00251A6D" w:rsidP="00251A6D">
      <w:pPr>
        <w:ind w:left="720" w:hanging="720"/>
      </w:pPr>
      <w:r>
        <w:t xml:space="preserve">Rumble, G. (1997). </w:t>
      </w:r>
      <w:r w:rsidRPr="00AF72A7">
        <w:rPr>
          <w:i/>
        </w:rPr>
        <w:t>The costs and economics of open and distance learning</w:t>
      </w:r>
      <w:r>
        <w:t xml:space="preserve"> [Adobe Digital Editions Version]. Retrieved from Amazon.com</w:t>
      </w:r>
    </w:p>
    <w:p w:rsidR="00A02CC2" w:rsidRDefault="00A02CC2" w:rsidP="00251A6D">
      <w:pPr>
        <w:ind w:left="720" w:hanging="720"/>
      </w:pPr>
      <w:proofErr w:type="gramStart"/>
      <w:r>
        <w:t>Wikipedia.</w:t>
      </w:r>
      <w:proofErr w:type="gramEnd"/>
      <w:r>
        <w:t xml:space="preserve"> (2015, February 26). </w:t>
      </w:r>
      <w:proofErr w:type="gramStart"/>
      <w:r>
        <w:t>Activity-based costing [Web Page].</w:t>
      </w:r>
      <w:proofErr w:type="gramEnd"/>
      <w:r>
        <w:t xml:space="preserve"> Retrieved from </w:t>
      </w:r>
      <w:hyperlink r:id="rId15" w:history="1">
        <w:r w:rsidRPr="00E81831">
          <w:rPr>
            <w:rStyle w:val="Hyperlink"/>
          </w:rPr>
          <w:t>http://en.wikipedia.org/wiki/Activity-based_costing</w:t>
        </w:r>
      </w:hyperlink>
    </w:p>
    <w:p w:rsidR="00A02CC2" w:rsidRPr="004D264A" w:rsidRDefault="00A02CC2" w:rsidP="000E4D4F"/>
    <w:p w:rsidR="00251A6D" w:rsidRDefault="00251A6D" w:rsidP="001065B8">
      <w:pPr>
        <w:spacing w:after="0"/>
        <w:rPr>
          <w:rFonts w:asciiTheme="minorHAnsi" w:hAnsiTheme="minorHAnsi" w:cstheme="minorHAnsi"/>
        </w:rPr>
      </w:pPr>
    </w:p>
    <w:p w:rsidR="001065B8" w:rsidRDefault="001065B8">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131823" w:rsidTr="004A3E4E">
        <w:tc>
          <w:tcPr>
            <w:tcW w:w="2898" w:type="dxa"/>
          </w:tcPr>
          <w:p w:rsidR="00131823" w:rsidRDefault="00131823" w:rsidP="004A3E4E">
            <w:pPr>
              <w:pStyle w:val="Heading2"/>
              <w:outlineLvl w:val="1"/>
            </w:pPr>
            <w:r>
              <w:lastRenderedPageBreak/>
              <w:t>Entry Title (Number)</w:t>
            </w:r>
          </w:p>
        </w:tc>
        <w:tc>
          <w:tcPr>
            <w:tcW w:w="6678" w:type="dxa"/>
          </w:tcPr>
          <w:p w:rsidR="00131823" w:rsidRPr="008E592C" w:rsidRDefault="00131823" w:rsidP="004A3E4E">
            <w:pPr>
              <w:pStyle w:val="Heading2"/>
              <w:outlineLvl w:val="1"/>
              <w:rPr>
                <w:b w:val="0"/>
              </w:rPr>
            </w:pPr>
            <w:r>
              <w:rPr>
                <w:b w:val="0"/>
                <w:color w:val="000000" w:themeColor="text1"/>
              </w:rPr>
              <w:t>Social Discount Rate (#3)</w:t>
            </w:r>
          </w:p>
        </w:tc>
      </w:tr>
      <w:tr w:rsidR="00131823" w:rsidTr="004A3E4E">
        <w:tc>
          <w:tcPr>
            <w:tcW w:w="2898" w:type="dxa"/>
          </w:tcPr>
          <w:p w:rsidR="00131823" w:rsidRDefault="00131823" w:rsidP="004A3E4E">
            <w:pPr>
              <w:pStyle w:val="Heading2"/>
              <w:outlineLvl w:val="1"/>
            </w:pPr>
            <w:r>
              <w:t>Date</w:t>
            </w:r>
          </w:p>
        </w:tc>
        <w:tc>
          <w:tcPr>
            <w:tcW w:w="6678" w:type="dxa"/>
          </w:tcPr>
          <w:p w:rsidR="00131823" w:rsidRPr="008E592C" w:rsidRDefault="00131823" w:rsidP="004A3E4E">
            <w:pPr>
              <w:pStyle w:val="Heading2"/>
              <w:outlineLvl w:val="1"/>
              <w:rPr>
                <w:b w:val="0"/>
                <w:color w:val="000000" w:themeColor="text1"/>
              </w:rPr>
            </w:pPr>
            <w:r>
              <w:rPr>
                <w:b w:val="0"/>
                <w:color w:val="000000" w:themeColor="text1"/>
              </w:rPr>
              <w:t>21-Feb-2015</w:t>
            </w:r>
          </w:p>
        </w:tc>
      </w:tr>
      <w:tr w:rsidR="00131823" w:rsidTr="004A3E4E">
        <w:tc>
          <w:tcPr>
            <w:tcW w:w="2898" w:type="dxa"/>
          </w:tcPr>
          <w:p w:rsidR="00131823" w:rsidRDefault="00131823" w:rsidP="004A3E4E">
            <w:pPr>
              <w:pStyle w:val="Heading2"/>
              <w:outlineLvl w:val="1"/>
            </w:pPr>
            <w:r>
              <w:t>Course/Module</w:t>
            </w:r>
          </w:p>
        </w:tc>
        <w:tc>
          <w:tcPr>
            <w:tcW w:w="6678" w:type="dxa"/>
          </w:tcPr>
          <w:p w:rsidR="00131823" w:rsidRPr="008E592C" w:rsidRDefault="00131823" w:rsidP="00131823">
            <w:pPr>
              <w:pStyle w:val="Heading2"/>
              <w:outlineLvl w:val="1"/>
              <w:rPr>
                <w:b w:val="0"/>
                <w:color w:val="000000" w:themeColor="text1"/>
              </w:rPr>
            </w:pPr>
            <w:r>
              <w:rPr>
                <w:b w:val="0"/>
                <w:color w:val="000000" w:themeColor="text1"/>
              </w:rPr>
              <w:t>OMDE606, Techniques of Cost Analysis</w:t>
            </w:r>
          </w:p>
        </w:tc>
      </w:tr>
      <w:tr w:rsidR="00131823" w:rsidTr="004A3E4E">
        <w:tc>
          <w:tcPr>
            <w:tcW w:w="9576" w:type="dxa"/>
            <w:gridSpan w:val="2"/>
          </w:tcPr>
          <w:p w:rsidR="00131823" w:rsidRPr="008E592C" w:rsidRDefault="00131823" w:rsidP="004A3E4E">
            <w:pPr>
              <w:pStyle w:val="Heading2"/>
              <w:outlineLvl w:val="1"/>
              <w:rPr>
                <w:b w:val="0"/>
                <w:color w:val="000000" w:themeColor="text1"/>
              </w:rPr>
            </w:pPr>
          </w:p>
        </w:tc>
      </w:tr>
    </w:tbl>
    <w:p w:rsidR="00131823" w:rsidRDefault="0048057B" w:rsidP="00131823">
      <w:pPr>
        <w:rPr>
          <w:b/>
          <w:bCs/>
        </w:rPr>
      </w:pPr>
      <w:r>
        <w:rPr>
          <w:b/>
          <w:bCs/>
          <w:noProof/>
        </w:rPr>
        <w:drawing>
          <wp:inline distT="0" distB="0" distL="0" distR="0">
            <wp:extent cx="2807208" cy="23591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unt_546790_4121418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7208" cy="2359152"/>
                    </a:xfrm>
                    <a:prstGeom prst="rect">
                      <a:avLst/>
                    </a:prstGeom>
                  </pic:spPr>
                </pic:pic>
              </a:graphicData>
            </a:graphic>
          </wp:inline>
        </w:drawing>
      </w:r>
    </w:p>
    <w:p w:rsidR="006951F5" w:rsidRDefault="009F09DE" w:rsidP="00131823">
      <w:pPr>
        <w:spacing w:after="0"/>
        <w:rPr>
          <w:rFonts w:asciiTheme="minorHAnsi" w:hAnsiTheme="minorHAnsi" w:cstheme="minorHAnsi"/>
        </w:rPr>
      </w:pPr>
      <w:r>
        <w:rPr>
          <w:rFonts w:asciiTheme="minorHAnsi" w:hAnsiTheme="minorHAnsi" w:cstheme="minorHAnsi"/>
        </w:rPr>
        <w:t>Reading the course notes about social discount rate</w:t>
      </w:r>
      <w:r w:rsidR="006951F5">
        <w:rPr>
          <w:rFonts w:asciiTheme="minorHAnsi" w:hAnsiTheme="minorHAnsi" w:cstheme="minorHAnsi"/>
        </w:rPr>
        <w:t xml:space="preserve"> was confusing to me.  So I went back to the Rumble text to seek more clarity</w:t>
      </w:r>
      <w:r w:rsidR="00BC5288">
        <w:rPr>
          <w:rFonts w:asciiTheme="minorHAnsi" w:hAnsiTheme="minorHAnsi" w:cstheme="minorHAnsi"/>
        </w:rPr>
        <w:t xml:space="preserve">: </w:t>
      </w:r>
      <w:r w:rsidR="006951F5">
        <w:rPr>
          <w:rFonts w:asciiTheme="minorHAnsi" w:hAnsiTheme="minorHAnsi" w:cstheme="minorHAnsi"/>
        </w:rPr>
        <w:t xml:space="preserve">“The social discount rate acts in must the same way as the </w:t>
      </w:r>
      <w:r w:rsidR="006951F5" w:rsidRPr="006951F5">
        <w:rPr>
          <w:rFonts w:asciiTheme="minorHAnsi" w:hAnsiTheme="minorHAnsi" w:cstheme="minorHAnsi"/>
          <w:i/>
        </w:rPr>
        <w:t>opportunity</w:t>
      </w:r>
      <w:r w:rsidR="006951F5">
        <w:rPr>
          <w:rFonts w:asciiTheme="minorHAnsi" w:hAnsiTheme="minorHAnsi" w:cstheme="minorHAnsi"/>
        </w:rPr>
        <w:t xml:space="preserve"> cost in private enterprise.  An opportunity cost is the value of that which must be given up to acquire or achieve something” (Rumble, </w:t>
      </w:r>
      <w:r w:rsidR="00BC5288">
        <w:rPr>
          <w:rFonts w:asciiTheme="minorHAnsi" w:hAnsiTheme="minorHAnsi" w:cstheme="minorHAnsi"/>
        </w:rPr>
        <w:t>1997</w:t>
      </w:r>
      <w:r w:rsidR="006951F5">
        <w:rPr>
          <w:rFonts w:asciiTheme="minorHAnsi" w:hAnsiTheme="minorHAnsi" w:cstheme="minorHAnsi"/>
        </w:rPr>
        <w:t>).</w:t>
      </w:r>
    </w:p>
    <w:p w:rsidR="00BC5288" w:rsidRDefault="00BC5288" w:rsidP="00131823">
      <w:pPr>
        <w:spacing w:after="0"/>
        <w:rPr>
          <w:rFonts w:asciiTheme="minorHAnsi" w:hAnsiTheme="minorHAnsi" w:cstheme="minorHAnsi"/>
        </w:rPr>
      </w:pPr>
    </w:p>
    <w:p w:rsidR="00BC5288" w:rsidRDefault="00BC5288" w:rsidP="00BC5288">
      <w:pPr>
        <w:rPr>
          <w:rFonts w:asciiTheme="minorHAnsi" w:hAnsiTheme="minorHAnsi" w:cstheme="minorHAnsi"/>
        </w:rPr>
      </w:pPr>
      <w:r>
        <w:rPr>
          <w:rFonts w:asciiTheme="minorHAnsi" w:hAnsiTheme="minorHAnsi" w:cstheme="minorHAnsi"/>
        </w:rPr>
        <w:t>Approach for including the opportunity cost in deprecation per Rumble (1997):</w:t>
      </w:r>
    </w:p>
    <w:p w:rsidR="00BC5288" w:rsidRDefault="00BC5288" w:rsidP="00BC5288">
      <w:pPr>
        <w:pStyle w:val="ListParagraph"/>
        <w:numPr>
          <w:ilvl w:val="0"/>
          <w:numId w:val="8"/>
        </w:numPr>
        <w:rPr>
          <w:rFonts w:asciiTheme="minorHAnsi" w:hAnsiTheme="minorHAnsi" w:cstheme="minorHAnsi"/>
        </w:rPr>
      </w:pPr>
      <w:r w:rsidRPr="008F685E">
        <w:rPr>
          <w:rFonts w:asciiTheme="minorHAnsi" w:hAnsiTheme="minorHAnsi" w:cstheme="minorHAnsi"/>
        </w:rPr>
        <w:t>Determine the replacement value</w:t>
      </w:r>
      <w:r>
        <w:rPr>
          <w:rFonts w:asciiTheme="minorHAnsi" w:hAnsiTheme="minorHAnsi" w:cstheme="minorHAnsi"/>
        </w:rPr>
        <w:t xml:space="preserve"> of the item</w:t>
      </w:r>
    </w:p>
    <w:p w:rsidR="00BC5288" w:rsidRDefault="00BC5288" w:rsidP="00BC5288">
      <w:pPr>
        <w:pStyle w:val="ListParagraph"/>
        <w:numPr>
          <w:ilvl w:val="0"/>
          <w:numId w:val="8"/>
        </w:numPr>
        <w:rPr>
          <w:rFonts w:asciiTheme="minorHAnsi" w:hAnsiTheme="minorHAnsi" w:cstheme="minorHAnsi"/>
        </w:rPr>
      </w:pPr>
      <w:r>
        <w:rPr>
          <w:rFonts w:asciiTheme="minorHAnsi" w:hAnsiTheme="minorHAnsi" w:cstheme="minorHAnsi"/>
        </w:rPr>
        <w:t>Determine the useful life of the item</w:t>
      </w:r>
    </w:p>
    <w:p w:rsidR="00BC5288" w:rsidRDefault="00BC5288" w:rsidP="00BC5288">
      <w:pPr>
        <w:pStyle w:val="ListParagraph"/>
        <w:numPr>
          <w:ilvl w:val="0"/>
          <w:numId w:val="8"/>
        </w:numPr>
        <w:rPr>
          <w:rFonts w:asciiTheme="minorHAnsi" w:hAnsiTheme="minorHAnsi" w:cstheme="minorHAnsi"/>
        </w:rPr>
      </w:pPr>
      <w:r>
        <w:rPr>
          <w:rFonts w:asciiTheme="minorHAnsi" w:hAnsiTheme="minorHAnsi" w:cstheme="minorHAnsi"/>
        </w:rPr>
        <w:t>Divide the replacement value of the item by the number of years of life to obtain the cost of depreciation for each year of use</w:t>
      </w:r>
    </w:p>
    <w:p w:rsidR="00BC5288" w:rsidRDefault="00BC5288" w:rsidP="00BC5288">
      <w:pPr>
        <w:pStyle w:val="ListParagraph"/>
        <w:numPr>
          <w:ilvl w:val="0"/>
          <w:numId w:val="8"/>
        </w:numPr>
        <w:rPr>
          <w:rFonts w:asciiTheme="minorHAnsi" w:hAnsiTheme="minorHAnsi" w:cstheme="minorHAnsi"/>
        </w:rPr>
      </w:pPr>
      <w:r>
        <w:rPr>
          <w:rFonts w:asciiTheme="minorHAnsi" w:hAnsiTheme="minorHAnsi" w:cstheme="minorHAnsi"/>
        </w:rPr>
        <w:t xml:space="preserve">Multiply the </w:t>
      </w:r>
      <w:proofErr w:type="spellStart"/>
      <w:r>
        <w:rPr>
          <w:rFonts w:asciiTheme="minorHAnsi" w:hAnsiTheme="minorHAnsi" w:cstheme="minorHAnsi"/>
        </w:rPr>
        <w:t>undepreciated</w:t>
      </w:r>
      <w:proofErr w:type="spellEnd"/>
      <w:r>
        <w:rPr>
          <w:rFonts w:asciiTheme="minorHAnsi" w:hAnsiTheme="minorHAnsi" w:cstheme="minorHAnsi"/>
        </w:rPr>
        <w:t xml:space="preserve"> portion by the interest rate to obtain the opportunity cost of having resources invested in the </w:t>
      </w:r>
      <w:proofErr w:type="spellStart"/>
      <w:r>
        <w:rPr>
          <w:rFonts w:asciiTheme="minorHAnsi" w:hAnsiTheme="minorHAnsi" w:cstheme="minorHAnsi"/>
        </w:rPr>
        <w:t>undepreciated</w:t>
      </w:r>
      <w:proofErr w:type="spellEnd"/>
      <w:r>
        <w:rPr>
          <w:rFonts w:asciiTheme="minorHAnsi" w:hAnsiTheme="minorHAnsi" w:cstheme="minorHAnsi"/>
        </w:rPr>
        <w:t xml:space="preserve"> portion of the item</w:t>
      </w:r>
    </w:p>
    <w:p w:rsidR="00BC5288" w:rsidRPr="008F685E" w:rsidRDefault="00BC5288" w:rsidP="00BC5288">
      <w:pPr>
        <w:pStyle w:val="ListParagraph"/>
        <w:numPr>
          <w:ilvl w:val="0"/>
          <w:numId w:val="8"/>
        </w:numPr>
        <w:rPr>
          <w:rFonts w:asciiTheme="minorHAnsi" w:hAnsiTheme="minorHAnsi" w:cstheme="minorHAnsi"/>
        </w:rPr>
      </w:pPr>
      <w:r>
        <w:rPr>
          <w:rFonts w:asciiTheme="minorHAnsi" w:hAnsiTheme="minorHAnsi" w:cstheme="minorHAnsi"/>
        </w:rPr>
        <w:t>Add the annual cost of the depreciation and the annual interest foregone on the remaining investment to obtain the annual cost</w:t>
      </w:r>
    </w:p>
    <w:p w:rsidR="00D55C94" w:rsidRDefault="00BC5288" w:rsidP="00BC5288">
      <w:pPr>
        <w:tabs>
          <w:tab w:val="left" w:pos="6030"/>
        </w:tabs>
        <w:spacing w:after="0"/>
        <w:rPr>
          <w:rFonts w:asciiTheme="minorHAnsi" w:hAnsiTheme="minorHAnsi" w:cstheme="minorHAnsi"/>
        </w:rPr>
      </w:pPr>
      <w:r>
        <w:rPr>
          <w:rFonts w:asciiTheme="minorHAnsi" w:hAnsiTheme="minorHAnsi" w:cstheme="minorHAnsi"/>
        </w:rPr>
        <w:t xml:space="preserve">So I went back to the example </w:t>
      </w:r>
      <w:r w:rsidR="00F466E6">
        <w:rPr>
          <w:rFonts w:asciiTheme="minorHAnsi" w:hAnsiTheme="minorHAnsi" w:cstheme="minorHAnsi"/>
        </w:rPr>
        <w:t>from the course notes to double check how this works using Rumble’s approach</w:t>
      </w:r>
      <w:r w:rsidR="00D55C94">
        <w:rPr>
          <w:rFonts w:asciiTheme="minorHAnsi" w:hAnsiTheme="minorHAnsi" w:cstheme="minorHAnsi"/>
        </w:rPr>
        <w:t xml:space="preserve">. The course example is a computer that cost $2000 and is depreciated over 5 years.  The simple depreciation is $2000/5 = $400.  </w:t>
      </w:r>
    </w:p>
    <w:p w:rsidR="00D55C94" w:rsidRDefault="00D55C94" w:rsidP="00BC5288">
      <w:pPr>
        <w:tabs>
          <w:tab w:val="left" w:pos="6030"/>
        </w:tabs>
        <w:spacing w:after="0"/>
        <w:rPr>
          <w:rFonts w:asciiTheme="minorHAnsi" w:hAnsiTheme="minorHAnsi" w:cstheme="minorHAnsi"/>
        </w:rPr>
      </w:pPr>
    </w:p>
    <w:p w:rsidR="00D55C94" w:rsidRDefault="00D55C94" w:rsidP="00D55C94">
      <w:pPr>
        <w:pStyle w:val="ListParagraph"/>
        <w:numPr>
          <w:ilvl w:val="0"/>
          <w:numId w:val="9"/>
        </w:numPr>
        <w:rPr>
          <w:rFonts w:asciiTheme="minorHAnsi" w:hAnsiTheme="minorHAnsi" w:cstheme="minorHAnsi"/>
        </w:rPr>
      </w:pPr>
      <w:r w:rsidRPr="008F685E">
        <w:rPr>
          <w:rFonts w:asciiTheme="minorHAnsi" w:hAnsiTheme="minorHAnsi" w:cstheme="minorHAnsi"/>
        </w:rPr>
        <w:t>Determine the replacement value</w:t>
      </w:r>
      <w:r>
        <w:rPr>
          <w:rFonts w:asciiTheme="minorHAnsi" w:hAnsiTheme="minorHAnsi" w:cstheme="minorHAnsi"/>
        </w:rPr>
        <w:t xml:space="preserve"> of the item: </w:t>
      </w:r>
      <w:r w:rsidRPr="00D55C94">
        <w:rPr>
          <w:rFonts w:asciiTheme="minorHAnsi" w:hAnsiTheme="minorHAnsi" w:cstheme="minorHAnsi"/>
          <w:b/>
        </w:rPr>
        <w:t>$2000</w:t>
      </w:r>
    </w:p>
    <w:p w:rsidR="00D55C94" w:rsidRDefault="00D55C94" w:rsidP="00D55C94">
      <w:pPr>
        <w:pStyle w:val="ListParagraph"/>
        <w:numPr>
          <w:ilvl w:val="0"/>
          <w:numId w:val="9"/>
        </w:numPr>
        <w:rPr>
          <w:rFonts w:asciiTheme="minorHAnsi" w:hAnsiTheme="minorHAnsi" w:cstheme="minorHAnsi"/>
        </w:rPr>
      </w:pPr>
      <w:r>
        <w:rPr>
          <w:rFonts w:asciiTheme="minorHAnsi" w:hAnsiTheme="minorHAnsi" w:cstheme="minorHAnsi"/>
        </w:rPr>
        <w:lastRenderedPageBreak/>
        <w:t xml:space="preserve">Determine the useful life of the item: </w:t>
      </w:r>
      <w:r w:rsidRPr="00D55C94">
        <w:rPr>
          <w:rFonts w:asciiTheme="minorHAnsi" w:hAnsiTheme="minorHAnsi" w:cstheme="minorHAnsi"/>
          <w:b/>
        </w:rPr>
        <w:t>5 years</w:t>
      </w:r>
    </w:p>
    <w:p w:rsidR="00D55C94" w:rsidRDefault="00D55C94" w:rsidP="00D55C94">
      <w:pPr>
        <w:pStyle w:val="ListParagraph"/>
        <w:numPr>
          <w:ilvl w:val="0"/>
          <w:numId w:val="9"/>
        </w:numPr>
        <w:rPr>
          <w:rFonts w:asciiTheme="minorHAnsi" w:hAnsiTheme="minorHAnsi" w:cstheme="minorHAnsi"/>
        </w:rPr>
      </w:pPr>
      <w:r>
        <w:rPr>
          <w:rFonts w:asciiTheme="minorHAnsi" w:hAnsiTheme="minorHAnsi" w:cstheme="minorHAnsi"/>
        </w:rPr>
        <w:t xml:space="preserve">Divide the replacement value of the item by the number of years of life to obtain the cost of depreciation for each year of use: </w:t>
      </w:r>
      <w:r w:rsidRPr="00D55C94">
        <w:rPr>
          <w:rFonts w:asciiTheme="minorHAnsi" w:hAnsiTheme="minorHAnsi" w:cstheme="minorHAnsi"/>
          <w:b/>
        </w:rPr>
        <w:t>$2000/5 = $400</w:t>
      </w:r>
    </w:p>
    <w:p w:rsidR="00D55C94" w:rsidRPr="00D55C94" w:rsidRDefault="00D55C94" w:rsidP="00D55C94">
      <w:pPr>
        <w:pStyle w:val="ListParagraph"/>
        <w:numPr>
          <w:ilvl w:val="0"/>
          <w:numId w:val="9"/>
        </w:numPr>
        <w:rPr>
          <w:rFonts w:asciiTheme="minorHAnsi" w:hAnsiTheme="minorHAnsi" w:cstheme="minorHAnsi"/>
        </w:rPr>
      </w:pPr>
      <w:r>
        <w:rPr>
          <w:rFonts w:asciiTheme="minorHAnsi" w:hAnsiTheme="minorHAnsi" w:cstheme="minorHAnsi"/>
        </w:rPr>
        <w:t xml:space="preserve">Multiply the </w:t>
      </w:r>
      <w:proofErr w:type="spellStart"/>
      <w:r>
        <w:rPr>
          <w:rFonts w:asciiTheme="minorHAnsi" w:hAnsiTheme="minorHAnsi" w:cstheme="minorHAnsi"/>
        </w:rPr>
        <w:t>undepreciated</w:t>
      </w:r>
      <w:proofErr w:type="spellEnd"/>
      <w:r>
        <w:rPr>
          <w:rFonts w:asciiTheme="minorHAnsi" w:hAnsiTheme="minorHAnsi" w:cstheme="minorHAnsi"/>
        </w:rPr>
        <w:t xml:space="preserve"> portion by the interest rate to obtain the opportunity cost of having resources invested in the </w:t>
      </w:r>
      <w:proofErr w:type="spellStart"/>
      <w:r>
        <w:rPr>
          <w:rFonts w:asciiTheme="minorHAnsi" w:hAnsiTheme="minorHAnsi" w:cstheme="minorHAnsi"/>
        </w:rPr>
        <w:t>undepreciated</w:t>
      </w:r>
      <w:proofErr w:type="spellEnd"/>
      <w:r>
        <w:rPr>
          <w:rFonts w:asciiTheme="minorHAnsi" w:hAnsiTheme="minorHAnsi" w:cstheme="minorHAnsi"/>
        </w:rPr>
        <w:t xml:space="preserve"> portion of the item:</w:t>
      </w:r>
      <w:r>
        <w:rPr>
          <w:rFonts w:asciiTheme="minorHAnsi" w:hAnsiTheme="minorHAnsi" w:cstheme="minorHAnsi"/>
        </w:rPr>
        <w:br/>
      </w:r>
      <w:r w:rsidRPr="00E25CF9">
        <w:rPr>
          <w:rFonts w:asciiTheme="minorHAnsi" w:hAnsiTheme="minorHAnsi" w:cstheme="minorHAnsi"/>
          <w:b/>
        </w:rPr>
        <w:t>Year 1: ($1600 *.05) = $80</w:t>
      </w:r>
      <w:r w:rsidRPr="00E25CF9">
        <w:rPr>
          <w:rFonts w:asciiTheme="minorHAnsi" w:hAnsiTheme="minorHAnsi" w:cstheme="minorHAnsi"/>
          <w:b/>
        </w:rPr>
        <w:br/>
        <w:t>Year 2: ($1200 * .05) = $60</w:t>
      </w:r>
      <w:r w:rsidRPr="00E25CF9">
        <w:rPr>
          <w:rFonts w:asciiTheme="minorHAnsi" w:hAnsiTheme="minorHAnsi" w:cstheme="minorHAnsi"/>
          <w:b/>
        </w:rPr>
        <w:br/>
        <w:t>Year 3: ($800 * .05) = $40</w:t>
      </w:r>
      <w:r w:rsidRPr="00E25CF9">
        <w:rPr>
          <w:rFonts w:asciiTheme="minorHAnsi" w:hAnsiTheme="minorHAnsi" w:cstheme="minorHAnsi"/>
          <w:b/>
        </w:rPr>
        <w:br/>
        <w:t>Year 4: ($400 * .05) = $20</w:t>
      </w:r>
      <w:r w:rsidRPr="00E25CF9">
        <w:rPr>
          <w:rFonts w:asciiTheme="minorHAnsi" w:hAnsiTheme="minorHAnsi" w:cstheme="minorHAnsi"/>
          <w:b/>
        </w:rPr>
        <w:br/>
        <w:t>Year 5: ($0 * .05) = $0</w:t>
      </w:r>
    </w:p>
    <w:p w:rsidR="00D55C94" w:rsidRPr="00D55C94" w:rsidRDefault="00D55C94" w:rsidP="00D55C94">
      <w:pPr>
        <w:pStyle w:val="ListParagraph"/>
        <w:numPr>
          <w:ilvl w:val="0"/>
          <w:numId w:val="9"/>
        </w:numPr>
        <w:rPr>
          <w:rFonts w:asciiTheme="minorHAnsi" w:hAnsiTheme="minorHAnsi" w:cstheme="minorHAnsi"/>
        </w:rPr>
      </w:pPr>
      <w:r>
        <w:rPr>
          <w:rFonts w:asciiTheme="minorHAnsi" w:hAnsiTheme="minorHAnsi" w:cstheme="minorHAnsi"/>
        </w:rPr>
        <w:t>Add the annual cost of the depreciation and the annual interest foregone on the remaining investment to obtain the annual cost</w:t>
      </w:r>
      <w:r>
        <w:rPr>
          <w:rFonts w:asciiTheme="minorHAnsi" w:hAnsiTheme="minorHAnsi" w:cstheme="minorHAnsi"/>
        </w:rPr>
        <w:br/>
      </w:r>
      <w:r w:rsidRPr="00E25CF9">
        <w:rPr>
          <w:rFonts w:asciiTheme="minorHAnsi" w:hAnsiTheme="minorHAnsi" w:cstheme="minorHAnsi"/>
          <w:b/>
        </w:rPr>
        <w:t xml:space="preserve">Year 1: ($1600 *.05) = </w:t>
      </w:r>
      <w:r w:rsidR="00A70C96">
        <w:rPr>
          <w:rFonts w:asciiTheme="minorHAnsi" w:hAnsiTheme="minorHAnsi" w:cstheme="minorHAnsi"/>
          <w:b/>
        </w:rPr>
        <w:t xml:space="preserve">$400 + </w:t>
      </w:r>
      <w:r w:rsidRPr="00E25CF9">
        <w:rPr>
          <w:rFonts w:asciiTheme="minorHAnsi" w:hAnsiTheme="minorHAnsi" w:cstheme="minorHAnsi"/>
          <w:b/>
        </w:rPr>
        <w:t>$80 = $480</w:t>
      </w:r>
      <w:r w:rsidRPr="00E25CF9">
        <w:rPr>
          <w:rFonts w:asciiTheme="minorHAnsi" w:hAnsiTheme="minorHAnsi" w:cstheme="minorHAnsi"/>
          <w:b/>
        </w:rPr>
        <w:br/>
        <w:t xml:space="preserve">Year 2: ($1200 * .05) = </w:t>
      </w:r>
      <w:r w:rsidR="00A70C96">
        <w:rPr>
          <w:rFonts w:asciiTheme="minorHAnsi" w:hAnsiTheme="minorHAnsi" w:cstheme="minorHAnsi"/>
          <w:b/>
        </w:rPr>
        <w:t xml:space="preserve">$400 + </w:t>
      </w:r>
      <w:r w:rsidRPr="00E25CF9">
        <w:rPr>
          <w:rFonts w:asciiTheme="minorHAnsi" w:hAnsiTheme="minorHAnsi" w:cstheme="minorHAnsi"/>
          <w:b/>
        </w:rPr>
        <w:t>$60 = $460</w:t>
      </w:r>
      <w:r w:rsidRPr="00E25CF9">
        <w:rPr>
          <w:rFonts w:asciiTheme="minorHAnsi" w:hAnsiTheme="minorHAnsi" w:cstheme="minorHAnsi"/>
          <w:b/>
        </w:rPr>
        <w:br/>
        <w:t>Year 3: ($800 * .05) = $40</w:t>
      </w:r>
      <w:r w:rsidR="00A70C96">
        <w:rPr>
          <w:rFonts w:asciiTheme="minorHAnsi" w:hAnsiTheme="minorHAnsi" w:cstheme="minorHAnsi"/>
          <w:b/>
        </w:rPr>
        <w:t>0 + $40</w:t>
      </w:r>
      <w:r w:rsidRPr="00E25CF9">
        <w:rPr>
          <w:rFonts w:asciiTheme="minorHAnsi" w:hAnsiTheme="minorHAnsi" w:cstheme="minorHAnsi"/>
          <w:b/>
        </w:rPr>
        <w:t xml:space="preserve"> = $</w:t>
      </w:r>
      <w:r w:rsidR="00E25CF9" w:rsidRPr="00E25CF9">
        <w:rPr>
          <w:rFonts w:asciiTheme="minorHAnsi" w:hAnsiTheme="minorHAnsi" w:cstheme="minorHAnsi"/>
          <w:b/>
        </w:rPr>
        <w:t>440</w:t>
      </w:r>
      <w:r w:rsidRPr="00E25CF9">
        <w:rPr>
          <w:rFonts w:asciiTheme="minorHAnsi" w:hAnsiTheme="minorHAnsi" w:cstheme="minorHAnsi"/>
          <w:b/>
        </w:rPr>
        <w:br/>
        <w:t xml:space="preserve">Year 4: ($400 * .05) = </w:t>
      </w:r>
      <w:r w:rsidR="00A70C96">
        <w:rPr>
          <w:rFonts w:asciiTheme="minorHAnsi" w:hAnsiTheme="minorHAnsi" w:cstheme="minorHAnsi"/>
          <w:b/>
        </w:rPr>
        <w:t>$400</w:t>
      </w:r>
      <w:r w:rsidRPr="00E25CF9">
        <w:rPr>
          <w:rFonts w:asciiTheme="minorHAnsi" w:hAnsiTheme="minorHAnsi" w:cstheme="minorHAnsi"/>
          <w:b/>
        </w:rPr>
        <w:t>0</w:t>
      </w:r>
      <w:r w:rsidR="00A70C96">
        <w:rPr>
          <w:rFonts w:asciiTheme="minorHAnsi" w:hAnsiTheme="minorHAnsi" w:cstheme="minorHAnsi"/>
          <w:b/>
        </w:rPr>
        <w:t xml:space="preserve"> + $2</w:t>
      </w:r>
      <w:r w:rsidR="00E25CF9" w:rsidRPr="00E25CF9">
        <w:rPr>
          <w:rFonts w:asciiTheme="minorHAnsi" w:hAnsiTheme="minorHAnsi" w:cstheme="minorHAnsi"/>
          <w:b/>
        </w:rPr>
        <w:t>0 = $420</w:t>
      </w:r>
      <w:r w:rsidRPr="00E25CF9">
        <w:rPr>
          <w:rFonts w:asciiTheme="minorHAnsi" w:hAnsiTheme="minorHAnsi" w:cstheme="minorHAnsi"/>
          <w:b/>
        </w:rPr>
        <w:br/>
        <w:t xml:space="preserve">Year 5: ($0 * .05) = </w:t>
      </w:r>
      <w:r w:rsidR="00A70C96">
        <w:rPr>
          <w:rFonts w:asciiTheme="minorHAnsi" w:hAnsiTheme="minorHAnsi" w:cstheme="minorHAnsi"/>
          <w:b/>
        </w:rPr>
        <w:t xml:space="preserve">$400 + </w:t>
      </w:r>
      <w:r w:rsidRPr="00E25CF9">
        <w:rPr>
          <w:rFonts w:asciiTheme="minorHAnsi" w:hAnsiTheme="minorHAnsi" w:cstheme="minorHAnsi"/>
          <w:b/>
        </w:rPr>
        <w:t>$0</w:t>
      </w:r>
      <w:r w:rsidR="00E25CF9" w:rsidRPr="00E25CF9">
        <w:rPr>
          <w:rFonts w:asciiTheme="minorHAnsi" w:hAnsiTheme="minorHAnsi" w:cstheme="minorHAnsi"/>
          <w:b/>
        </w:rPr>
        <w:t xml:space="preserve"> = $400</w:t>
      </w:r>
    </w:p>
    <w:p w:rsidR="00D55C94" w:rsidRDefault="00D55C94" w:rsidP="00BC5288">
      <w:pPr>
        <w:tabs>
          <w:tab w:val="left" w:pos="6030"/>
        </w:tabs>
        <w:spacing w:after="0"/>
        <w:rPr>
          <w:rFonts w:asciiTheme="minorHAnsi" w:hAnsiTheme="minorHAnsi" w:cstheme="minorHAnsi"/>
        </w:rPr>
      </w:pPr>
    </w:p>
    <w:p w:rsidR="00BC5288" w:rsidRDefault="00E25CF9" w:rsidP="00BC5288">
      <w:pPr>
        <w:tabs>
          <w:tab w:val="left" w:pos="6030"/>
        </w:tabs>
        <w:spacing w:after="0"/>
        <w:rPr>
          <w:rFonts w:asciiTheme="minorHAnsi" w:hAnsiTheme="minorHAnsi" w:cstheme="minorHAnsi"/>
        </w:rPr>
      </w:pPr>
      <w:proofErr w:type="gramStart"/>
      <w:r>
        <w:rPr>
          <w:rFonts w:asciiTheme="minorHAnsi" w:hAnsiTheme="minorHAnsi" w:cstheme="minorHAnsi"/>
        </w:rPr>
        <w:t xml:space="preserve">Going back to the Rumble definition, </w:t>
      </w:r>
      <w:r w:rsidR="00A70C96">
        <w:rPr>
          <w:rFonts w:asciiTheme="minorHAnsi" w:hAnsiTheme="minorHAnsi" w:cstheme="minorHAnsi"/>
        </w:rPr>
        <w:t>the total social discount rate</w:t>
      </w:r>
      <w:r w:rsidR="00B01A39">
        <w:rPr>
          <w:rFonts w:asciiTheme="minorHAnsi" w:hAnsiTheme="minorHAnsi" w:cstheme="minorHAnsi"/>
        </w:rPr>
        <w:t xml:space="preserve"> or the amount that</w:t>
      </w:r>
      <w:r>
        <w:rPr>
          <w:rFonts w:asciiTheme="minorHAnsi" w:hAnsiTheme="minorHAnsi" w:cstheme="minorHAnsi"/>
        </w:rPr>
        <w:t xml:space="preserve"> is given up by the organization in order to own the computer</w:t>
      </w:r>
      <w:r w:rsidR="00B01A39">
        <w:rPr>
          <w:rFonts w:asciiTheme="minorHAnsi" w:hAnsiTheme="minorHAnsi" w:cstheme="minorHAnsi"/>
        </w:rPr>
        <w:t xml:space="preserve"> is $2200</w:t>
      </w:r>
      <w:r>
        <w:rPr>
          <w:rFonts w:asciiTheme="minorHAnsi" w:hAnsiTheme="minorHAnsi" w:cstheme="minorHAnsi"/>
        </w:rPr>
        <w:t>.</w:t>
      </w:r>
      <w:proofErr w:type="gramEnd"/>
      <w:r w:rsidR="00B01A39">
        <w:rPr>
          <w:rFonts w:asciiTheme="minorHAnsi" w:hAnsiTheme="minorHAnsi" w:cstheme="minorHAnsi"/>
        </w:rPr>
        <w:t xml:space="preserve">  This does not jibe with the course </w:t>
      </w:r>
      <w:proofErr w:type="gramStart"/>
      <w:r w:rsidR="00B01A39">
        <w:rPr>
          <w:rFonts w:asciiTheme="minorHAnsi" w:hAnsiTheme="minorHAnsi" w:cstheme="minorHAnsi"/>
        </w:rPr>
        <w:t>notes which has</w:t>
      </w:r>
      <w:proofErr w:type="gramEnd"/>
      <w:r w:rsidR="00B01A39">
        <w:rPr>
          <w:rFonts w:asciiTheme="minorHAnsi" w:hAnsiTheme="minorHAnsi" w:cstheme="minorHAnsi"/>
        </w:rPr>
        <w:t xml:space="preserve"> the total at $2,415.</w:t>
      </w:r>
    </w:p>
    <w:p w:rsidR="00147F42" w:rsidRDefault="00147F42" w:rsidP="00131823">
      <w:pPr>
        <w:spacing w:after="0"/>
        <w:rPr>
          <w:rFonts w:asciiTheme="minorHAnsi" w:hAnsiTheme="minorHAnsi" w:cstheme="minorHAnsi"/>
        </w:rPr>
      </w:pPr>
    </w:p>
    <w:p w:rsidR="00147F42" w:rsidRPr="00BC5288" w:rsidRDefault="00147F42" w:rsidP="00BC5288">
      <w:pPr>
        <w:spacing w:after="120"/>
        <w:rPr>
          <w:rFonts w:asciiTheme="minorHAnsi" w:hAnsiTheme="minorHAnsi" w:cstheme="minorHAnsi"/>
          <w:b/>
        </w:rPr>
      </w:pPr>
      <w:r w:rsidRPr="00BC5288">
        <w:rPr>
          <w:rFonts w:asciiTheme="minorHAnsi" w:hAnsiTheme="minorHAnsi" w:cstheme="minorHAnsi"/>
          <w:b/>
        </w:rPr>
        <w:t>REFERENCES</w:t>
      </w:r>
    </w:p>
    <w:p w:rsidR="00BC5288" w:rsidRPr="004D264A" w:rsidRDefault="00BC5288" w:rsidP="00BC5288">
      <w:pPr>
        <w:ind w:left="720" w:hanging="720"/>
      </w:pPr>
      <w:r>
        <w:t xml:space="preserve">Rumble, G. (1997). </w:t>
      </w:r>
      <w:r w:rsidRPr="00AF72A7">
        <w:rPr>
          <w:i/>
        </w:rPr>
        <w:t>The costs and economics of open and distance learning</w:t>
      </w:r>
      <w:r>
        <w:t xml:space="preserve"> [Adobe Digital Editions Version]. Retrieved from Amazon.com</w:t>
      </w:r>
    </w:p>
    <w:p w:rsidR="00147F42" w:rsidRDefault="00147F42" w:rsidP="00131823">
      <w:pPr>
        <w:spacing w:after="0"/>
        <w:rPr>
          <w:rFonts w:asciiTheme="minorHAnsi" w:hAnsiTheme="minorHAnsi" w:cstheme="minorHAnsi"/>
        </w:rPr>
      </w:pPr>
    </w:p>
    <w:p w:rsidR="00131823" w:rsidRDefault="00131823">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E358CA" w:rsidTr="00D4160F">
        <w:tc>
          <w:tcPr>
            <w:tcW w:w="2898" w:type="dxa"/>
          </w:tcPr>
          <w:p w:rsidR="00E358CA" w:rsidRDefault="00E358CA" w:rsidP="00D4160F">
            <w:pPr>
              <w:pStyle w:val="Heading2"/>
              <w:outlineLvl w:val="1"/>
            </w:pPr>
            <w:r>
              <w:lastRenderedPageBreak/>
              <w:t>Entry Title (Number)</w:t>
            </w:r>
          </w:p>
        </w:tc>
        <w:tc>
          <w:tcPr>
            <w:tcW w:w="6678" w:type="dxa"/>
          </w:tcPr>
          <w:p w:rsidR="00E358CA" w:rsidRPr="008E592C" w:rsidRDefault="00E358CA" w:rsidP="00D4160F">
            <w:pPr>
              <w:pStyle w:val="Heading2"/>
              <w:outlineLvl w:val="1"/>
              <w:rPr>
                <w:b w:val="0"/>
              </w:rPr>
            </w:pPr>
            <w:r>
              <w:rPr>
                <w:b w:val="0"/>
                <w:color w:val="000000" w:themeColor="text1"/>
              </w:rPr>
              <w:t>Total Productivity Factor (#2)</w:t>
            </w:r>
          </w:p>
        </w:tc>
      </w:tr>
      <w:tr w:rsidR="00E358CA" w:rsidTr="00D4160F">
        <w:tc>
          <w:tcPr>
            <w:tcW w:w="2898" w:type="dxa"/>
          </w:tcPr>
          <w:p w:rsidR="00E358CA" w:rsidRDefault="00E358CA" w:rsidP="00D4160F">
            <w:pPr>
              <w:pStyle w:val="Heading2"/>
              <w:outlineLvl w:val="1"/>
            </w:pPr>
            <w:r>
              <w:t>Date</w:t>
            </w:r>
          </w:p>
        </w:tc>
        <w:tc>
          <w:tcPr>
            <w:tcW w:w="6678" w:type="dxa"/>
          </w:tcPr>
          <w:p w:rsidR="00E358CA" w:rsidRPr="008E592C" w:rsidRDefault="00E358CA" w:rsidP="00D4160F">
            <w:pPr>
              <w:pStyle w:val="Heading2"/>
              <w:outlineLvl w:val="1"/>
              <w:rPr>
                <w:b w:val="0"/>
                <w:color w:val="000000" w:themeColor="text1"/>
              </w:rPr>
            </w:pPr>
            <w:r>
              <w:rPr>
                <w:b w:val="0"/>
                <w:color w:val="000000" w:themeColor="text1"/>
              </w:rPr>
              <w:t>13-Feb-2015</w:t>
            </w:r>
          </w:p>
        </w:tc>
      </w:tr>
      <w:tr w:rsidR="00E358CA" w:rsidTr="00D4160F">
        <w:tc>
          <w:tcPr>
            <w:tcW w:w="2898" w:type="dxa"/>
          </w:tcPr>
          <w:p w:rsidR="00E358CA" w:rsidRDefault="00E358CA" w:rsidP="00D4160F">
            <w:pPr>
              <w:pStyle w:val="Heading2"/>
              <w:outlineLvl w:val="1"/>
            </w:pPr>
            <w:r>
              <w:t>Course/Module</w:t>
            </w:r>
          </w:p>
        </w:tc>
        <w:tc>
          <w:tcPr>
            <w:tcW w:w="6678" w:type="dxa"/>
          </w:tcPr>
          <w:p w:rsidR="00E358CA" w:rsidRPr="008E592C" w:rsidRDefault="00E358CA" w:rsidP="00D4160F">
            <w:pPr>
              <w:pStyle w:val="Heading2"/>
              <w:outlineLvl w:val="1"/>
              <w:rPr>
                <w:b w:val="0"/>
                <w:color w:val="000000" w:themeColor="text1"/>
              </w:rPr>
            </w:pPr>
            <w:r>
              <w:rPr>
                <w:b w:val="0"/>
                <w:color w:val="000000" w:themeColor="text1"/>
              </w:rPr>
              <w:t>OMDE606, Human Capital</w:t>
            </w:r>
          </w:p>
        </w:tc>
      </w:tr>
      <w:tr w:rsidR="00E358CA" w:rsidTr="00D4160F">
        <w:tc>
          <w:tcPr>
            <w:tcW w:w="9576" w:type="dxa"/>
            <w:gridSpan w:val="2"/>
          </w:tcPr>
          <w:p w:rsidR="00E358CA" w:rsidRPr="008E592C" w:rsidRDefault="00E358CA" w:rsidP="00D4160F">
            <w:pPr>
              <w:pStyle w:val="Heading2"/>
              <w:outlineLvl w:val="1"/>
              <w:rPr>
                <w:b w:val="0"/>
                <w:color w:val="000000" w:themeColor="text1"/>
              </w:rPr>
            </w:pPr>
          </w:p>
        </w:tc>
      </w:tr>
    </w:tbl>
    <w:p w:rsidR="005C3C69" w:rsidRDefault="005C3C69">
      <w:pPr>
        <w:rPr>
          <w:b/>
          <w:bCs/>
        </w:rPr>
      </w:pPr>
      <w:r>
        <w:rPr>
          <w:b/>
          <w:bCs/>
          <w:noProof/>
        </w:rPr>
        <w:drawing>
          <wp:inline distT="0" distB="0" distL="0" distR="0">
            <wp:extent cx="3630168" cy="272491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_491545_10384676.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630168" cy="2724912"/>
                    </a:xfrm>
                    <a:prstGeom prst="rect">
                      <a:avLst/>
                    </a:prstGeom>
                  </pic:spPr>
                </pic:pic>
              </a:graphicData>
            </a:graphic>
          </wp:inline>
        </w:drawing>
      </w:r>
    </w:p>
    <w:p w:rsidR="009C483B" w:rsidRDefault="00680EC3" w:rsidP="009C483B">
      <w:pPr>
        <w:spacing w:after="0"/>
        <w:rPr>
          <w:rFonts w:asciiTheme="minorHAnsi" w:hAnsiTheme="minorHAnsi" w:cstheme="minorHAnsi"/>
        </w:rPr>
      </w:pPr>
      <w:r>
        <w:rPr>
          <w:rFonts w:asciiTheme="minorHAnsi" w:hAnsiTheme="minorHAnsi" w:cstheme="minorHAnsi"/>
        </w:rPr>
        <w:t>“It has widely been observed that increases in national output have been large compared with the increases of land, man-hours, and physical reproducible capital” (Schultz, 1961, p. 1</w:t>
      </w:r>
      <w:r w:rsidR="007F3405">
        <w:rPr>
          <w:rFonts w:asciiTheme="minorHAnsi" w:hAnsiTheme="minorHAnsi" w:cstheme="minorHAnsi"/>
        </w:rPr>
        <w:t xml:space="preserve">).  </w:t>
      </w:r>
      <w:r w:rsidR="007C0B5D">
        <w:rPr>
          <w:rFonts w:asciiTheme="minorHAnsi" w:hAnsiTheme="minorHAnsi" w:cstheme="minorHAnsi"/>
        </w:rPr>
        <w:t xml:space="preserve">Schultz (1961) </w:t>
      </w:r>
      <w:r w:rsidR="00CA4304">
        <w:rPr>
          <w:rFonts w:asciiTheme="minorHAnsi" w:hAnsiTheme="minorHAnsi" w:cstheme="minorHAnsi"/>
        </w:rPr>
        <w:t>attributes human capital as the input that fills the gap in understanding where the additional output comes from</w:t>
      </w:r>
      <w:r w:rsidR="007C0B5D">
        <w:rPr>
          <w:rFonts w:asciiTheme="minorHAnsi" w:hAnsiTheme="minorHAnsi" w:cstheme="minorHAnsi"/>
        </w:rPr>
        <w:t>.</w:t>
      </w:r>
    </w:p>
    <w:p w:rsidR="009C483B" w:rsidRDefault="009C483B" w:rsidP="009C483B">
      <w:pPr>
        <w:spacing w:after="0"/>
        <w:rPr>
          <w:rFonts w:asciiTheme="minorHAnsi" w:hAnsiTheme="minorHAnsi" w:cstheme="minorHAnsi"/>
        </w:rPr>
      </w:pPr>
    </w:p>
    <w:p w:rsidR="00177217" w:rsidRDefault="0050215A" w:rsidP="007F3405">
      <w:pPr>
        <w:spacing w:after="0"/>
        <w:rPr>
          <w:rFonts w:asciiTheme="minorHAnsi" w:hAnsiTheme="minorHAnsi" w:cstheme="minorHAnsi"/>
        </w:rPr>
      </w:pPr>
      <w:r>
        <w:rPr>
          <w:rFonts w:asciiTheme="minorHAnsi" w:hAnsiTheme="minorHAnsi" w:cstheme="minorHAnsi"/>
        </w:rPr>
        <w:t>Total Factor Productivity</w:t>
      </w:r>
      <w:r w:rsidR="0022288E">
        <w:rPr>
          <w:rFonts w:asciiTheme="minorHAnsi" w:hAnsiTheme="minorHAnsi" w:cstheme="minorHAnsi"/>
        </w:rPr>
        <w:t xml:space="preserve"> (TFP) is another explanation for this gap.  Human capital is one part of TFP.  T</w:t>
      </w:r>
      <w:r>
        <w:rPr>
          <w:rFonts w:asciiTheme="minorHAnsi" w:hAnsiTheme="minorHAnsi" w:cstheme="minorHAnsi"/>
        </w:rPr>
        <w:t>echnology and social capital</w:t>
      </w:r>
      <w:r w:rsidR="0022288E">
        <w:rPr>
          <w:rFonts w:asciiTheme="minorHAnsi" w:hAnsiTheme="minorHAnsi" w:cstheme="minorHAnsi"/>
        </w:rPr>
        <w:t xml:space="preserve"> </w:t>
      </w:r>
      <w:r w:rsidR="00AC06D7">
        <w:rPr>
          <w:rFonts w:asciiTheme="minorHAnsi" w:hAnsiTheme="minorHAnsi" w:cstheme="minorHAnsi"/>
        </w:rPr>
        <w:t>complete the</w:t>
      </w:r>
      <w:r w:rsidR="0022288E">
        <w:rPr>
          <w:rFonts w:asciiTheme="minorHAnsi" w:hAnsiTheme="minorHAnsi" w:cstheme="minorHAnsi"/>
        </w:rPr>
        <w:t xml:space="preserve"> TFP</w:t>
      </w:r>
      <w:r w:rsidR="00AC06D7">
        <w:rPr>
          <w:rFonts w:asciiTheme="minorHAnsi" w:hAnsiTheme="minorHAnsi" w:cstheme="minorHAnsi"/>
        </w:rPr>
        <w:t xml:space="preserve"> mix</w:t>
      </w:r>
      <w:r w:rsidR="0022288E">
        <w:rPr>
          <w:rFonts w:asciiTheme="minorHAnsi" w:hAnsiTheme="minorHAnsi" w:cstheme="minorHAnsi"/>
        </w:rPr>
        <w:t>.  “Most</w:t>
      </w:r>
      <w:r w:rsidR="009C483B" w:rsidRPr="009C483B">
        <w:rPr>
          <w:rFonts w:asciiTheme="minorHAnsi" w:hAnsiTheme="minorHAnsi" w:cstheme="minorHAnsi"/>
        </w:rPr>
        <w:t xml:space="preserve"> output growth can be accounted for by input growth, but that the variation in</w:t>
      </w:r>
      <w:r w:rsidR="009A1EC1">
        <w:rPr>
          <w:rFonts w:asciiTheme="minorHAnsi" w:hAnsiTheme="minorHAnsi" w:cstheme="minorHAnsi"/>
        </w:rPr>
        <w:t xml:space="preserve"> </w:t>
      </w:r>
      <w:r w:rsidR="009C483B" w:rsidRPr="009C483B">
        <w:rPr>
          <w:rFonts w:asciiTheme="minorHAnsi" w:hAnsiTheme="minorHAnsi" w:cstheme="minorHAnsi"/>
        </w:rPr>
        <w:t xml:space="preserve">output levels and growth rates is mostly accounted for by variation in </w:t>
      </w:r>
      <w:r w:rsidR="009C483B">
        <w:rPr>
          <w:rFonts w:asciiTheme="minorHAnsi" w:hAnsiTheme="minorHAnsi" w:cstheme="minorHAnsi"/>
        </w:rPr>
        <w:t xml:space="preserve">[Total Factor Productivity] </w:t>
      </w:r>
      <w:r w:rsidR="009C483B" w:rsidRPr="009C483B">
        <w:rPr>
          <w:rFonts w:asciiTheme="minorHAnsi" w:hAnsiTheme="minorHAnsi" w:cstheme="minorHAnsi"/>
        </w:rPr>
        <w:t>TFP levels and growth</w:t>
      </w:r>
      <w:r w:rsidR="009C483B">
        <w:rPr>
          <w:rFonts w:asciiTheme="minorHAnsi" w:hAnsiTheme="minorHAnsi" w:cstheme="minorHAnsi"/>
        </w:rPr>
        <w:t xml:space="preserve"> </w:t>
      </w:r>
      <w:r w:rsidR="009C483B" w:rsidRPr="009C483B">
        <w:rPr>
          <w:rFonts w:asciiTheme="minorHAnsi" w:hAnsiTheme="minorHAnsi" w:cstheme="minorHAnsi"/>
        </w:rPr>
        <w:t>rates”</w:t>
      </w:r>
      <w:r w:rsidR="00B33222">
        <w:rPr>
          <w:rFonts w:asciiTheme="minorHAnsi" w:hAnsiTheme="minorHAnsi" w:cstheme="minorHAnsi"/>
        </w:rPr>
        <w:t xml:space="preserve"> (Taylor</w:t>
      </w:r>
      <w:r w:rsidR="00680EC3">
        <w:rPr>
          <w:rFonts w:asciiTheme="minorHAnsi" w:hAnsiTheme="minorHAnsi" w:cstheme="minorHAnsi"/>
        </w:rPr>
        <w:t>, Tamura, &amp; Mulholland, 2013</w:t>
      </w:r>
      <w:r w:rsidR="00B33222">
        <w:rPr>
          <w:rFonts w:asciiTheme="minorHAnsi" w:hAnsiTheme="minorHAnsi" w:cstheme="minorHAnsi"/>
        </w:rPr>
        <w:t>, p. 320).</w:t>
      </w:r>
      <w:r w:rsidR="007F3405">
        <w:rPr>
          <w:rFonts w:asciiTheme="minorHAnsi" w:hAnsiTheme="minorHAnsi" w:cstheme="minorHAnsi"/>
        </w:rPr>
        <w:t xml:space="preserve">  “Economic performance across regions differs not only in traditional factor endowments (</w:t>
      </w:r>
      <w:proofErr w:type="spellStart"/>
      <w:r w:rsidR="007F3405">
        <w:rPr>
          <w:rFonts w:asciiTheme="minorHAnsi" w:hAnsiTheme="minorHAnsi" w:cstheme="minorHAnsi"/>
        </w:rPr>
        <w:t>labour</w:t>
      </w:r>
      <w:proofErr w:type="spellEnd"/>
      <w:r w:rsidR="007F3405">
        <w:rPr>
          <w:rFonts w:asciiTheme="minorHAnsi" w:hAnsiTheme="minorHAnsi" w:cstheme="minorHAnsi"/>
        </w:rPr>
        <w:t xml:space="preserve"> and physical capital), but also mainly in technological, human and social capital” (</w:t>
      </w:r>
      <w:proofErr w:type="spellStart"/>
      <w:r w:rsidR="007F3405">
        <w:rPr>
          <w:rFonts w:asciiTheme="minorHAnsi" w:hAnsiTheme="minorHAnsi" w:cstheme="minorHAnsi"/>
        </w:rPr>
        <w:t>Dettori</w:t>
      </w:r>
      <w:proofErr w:type="spellEnd"/>
      <w:r w:rsidR="007F3405">
        <w:rPr>
          <w:rFonts w:asciiTheme="minorHAnsi" w:hAnsiTheme="minorHAnsi" w:cstheme="minorHAnsi"/>
        </w:rPr>
        <w:t xml:space="preserve">, </w:t>
      </w:r>
      <w:proofErr w:type="spellStart"/>
      <w:r w:rsidR="007F3405">
        <w:rPr>
          <w:rFonts w:asciiTheme="minorHAnsi" w:hAnsiTheme="minorHAnsi" w:cstheme="minorHAnsi"/>
        </w:rPr>
        <w:t>Marrocu</w:t>
      </w:r>
      <w:proofErr w:type="spellEnd"/>
      <w:r w:rsidR="007F3405">
        <w:rPr>
          <w:rFonts w:asciiTheme="minorHAnsi" w:hAnsiTheme="minorHAnsi" w:cstheme="minorHAnsi"/>
        </w:rPr>
        <w:t xml:space="preserve">, &amp; </w:t>
      </w:r>
      <w:proofErr w:type="spellStart"/>
      <w:r w:rsidR="007F3405">
        <w:rPr>
          <w:rFonts w:asciiTheme="minorHAnsi" w:hAnsiTheme="minorHAnsi" w:cstheme="minorHAnsi"/>
        </w:rPr>
        <w:t>Paci</w:t>
      </w:r>
      <w:proofErr w:type="spellEnd"/>
      <w:r w:rsidR="007F3405">
        <w:rPr>
          <w:rFonts w:asciiTheme="minorHAnsi" w:hAnsiTheme="minorHAnsi" w:cstheme="minorHAnsi"/>
        </w:rPr>
        <w:t xml:space="preserve">, </w:t>
      </w:r>
      <w:r w:rsidR="006F78AA" w:rsidRPr="006F78AA">
        <w:rPr>
          <w:rFonts w:asciiTheme="minorHAnsi" w:hAnsiTheme="minorHAnsi" w:cstheme="minorHAnsi"/>
        </w:rPr>
        <w:t>2012</w:t>
      </w:r>
      <w:r w:rsidR="007F3405">
        <w:rPr>
          <w:rFonts w:asciiTheme="minorHAnsi" w:hAnsiTheme="minorHAnsi" w:cstheme="minorHAnsi"/>
        </w:rPr>
        <w:t>, p. 1411</w:t>
      </w:r>
      <w:r w:rsidR="006F78AA" w:rsidRPr="006F78AA">
        <w:rPr>
          <w:rFonts w:asciiTheme="minorHAnsi" w:hAnsiTheme="minorHAnsi" w:cstheme="minorHAnsi"/>
        </w:rPr>
        <w:t xml:space="preserve">). </w:t>
      </w:r>
      <w:r>
        <w:rPr>
          <w:rFonts w:asciiTheme="minorHAnsi" w:hAnsiTheme="minorHAnsi" w:cstheme="minorHAnsi"/>
        </w:rPr>
        <w:t xml:space="preserve"> </w:t>
      </w:r>
      <w:proofErr w:type="spellStart"/>
      <w:r>
        <w:rPr>
          <w:rFonts w:asciiTheme="minorHAnsi" w:hAnsiTheme="minorHAnsi" w:cstheme="minorHAnsi"/>
        </w:rPr>
        <w:t>Dettori</w:t>
      </w:r>
      <w:proofErr w:type="spellEnd"/>
      <w:r>
        <w:rPr>
          <w:rFonts w:asciiTheme="minorHAnsi" w:hAnsiTheme="minorHAnsi" w:cstheme="minorHAnsi"/>
        </w:rPr>
        <w:t xml:space="preserve">, </w:t>
      </w:r>
      <w:proofErr w:type="gramStart"/>
      <w:r>
        <w:rPr>
          <w:rFonts w:asciiTheme="minorHAnsi" w:hAnsiTheme="minorHAnsi" w:cstheme="minorHAnsi"/>
        </w:rPr>
        <w:t>et al. (2012) characterize</w:t>
      </w:r>
      <w:proofErr w:type="gramEnd"/>
      <w:r>
        <w:rPr>
          <w:rFonts w:asciiTheme="minorHAnsi" w:hAnsiTheme="minorHAnsi" w:cstheme="minorHAnsi"/>
        </w:rPr>
        <w:t xml:space="preserve"> technological, human and social capital as</w:t>
      </w:r>
      <w:r w:rsidR="0022288E">
        <w:rPr>
          <w:rFonts w:asciiTheme="minorHAnsi" w:hAnsiTheme="minorHAnsi" w:cstheme="minorHAnsi"/>
        </w:rPr>
        <w:t xml:space="preserve"> components of</w:t>
      </w:r>
      <w:r>
        <w:rPr>
          <w:rFonts w:asciiTheme="minorHAnsi" w:hAnsiTheme="minorHAnsi" w:cstheme="minorHAnsi"/>
        </w:rPr>
        <w:t xml:space="preserve"> Total Factor Productivity.</w:t>
      </w:r>
    </w:p>
    <w:p w:rsidR="009C483B" w:rsidRPr="009C483B" w:rsidRDefault="009C483B" w:rsidP="009C483B">
      <w:pPr>
        <w:spacing w:after="0"/>
        <w:rPr>
          <w:rFonts w:asciiTheme="minorHAnsi" w:hAnsiTheme="minorHAnsi" w:cstheme="minorHAnsi"/>
        </w:rPr>
      </w:pPr>
    </w:p>
    <w:p w:rsidR="00177217" w:rsidRPr="00CC5D10" w:rsidRDefault="00177217" w:rsidP="00177217">
      <w:pPr>
        <w:rPr>
          <w:rFonts w:asciiTheme="minorHAnsi" w:hAnsiTheme="minorHAnsi" w:cstheme="minorHAnsi"/>
          <w:b/>
        </w:rPr>
      </w:pPr>
      <w:r w:rsidRPr="00CC5D10">
        <w:rPr>
          <w:rFonts w:asciiTheme="minorHAnsi" w:hAnsiTheme="minorHAnsi" w:cstheme="minorHAnsi"/>
          <w:b/>
        </w:rPr>
        <w:t>REFERENCES</w:t>
      </w:r>
    </w:p>
    <w:p w:rsidR="006F78AA" w:rsidRDefault="006F78AA" w:rsidP="006F78AA">
      <w:pPr>
        <w:spacing w:line="480" w:lineRule="auto"/>
        <w:ind w:left="720" w:hanging="720"/>
      </w:pPr>
      <w:proofErr w:type="spellStart"/>
      <w:proofErr w:type="gramStart"/>
      <w:r>
        <w:lastRenderedPageBreak/>
        <w:t>Dettori</w:t>
      </w:r>
      <w:proofErr w:type="spellEnd"/>
      <w:r>
        <w:t xml:space="preserve">, B., </w:t>
      </w:r>
      <w:proofErr w:type="spellStart"/>
      <w:r w:rsidRPr="000C7403">
        <w:t>Marrocu</w:t>
      </w:r>
      <w:proofErr w:type="spellEnd"/>
      <w:r w:rsidRPr="000C7403">
        <w:t xml:space="preserve">, E., &amp; </w:t>
      </w:r>
      <w:proofErr w:type="spellStart"/>
      <w:r w:rsidRPr="000C7403">
        <w:t>Paci</w:t>
      </w:r>
      <w:proofErr w:type="spellEnd"/>
      <w:r w:rsidRPr="000C7403">
        <w:t>, R. (2012).</w:t>
      </w:r>
      <w:proofErr w:type="gramEnd"/>
      <w:r w:rsidRPr="000C7403">
        <w:t xml:space="preserve"> Total </w:t>
      </w:r>
      <w:r>
        <w:t>f</w:t>
      </w:r>
      <w:r w:rsidRPr="000C7403">
        <w:t xml:space="preserve">actor </w:t>
      </w:r>
      <w:r>
        <w:t>p</w:t>
      </w:r>
      <w:r w:rsidRPr="000C7403">
        <w:t xml:space="preserve">roductivity, </w:t>
      </w:r>
      <w:r>
        <w:t>intangible assets and s</w:t>
      </w:r>
      <w:r w:rsidRPr="000C7403">
        <w:t xml:space="preserve">patial </w:t>
      </w:r>
      <w:r>
        <w:t>d</w:t>
      </w:r>
      <w:r w:rsidRPr="000C7403">
        <w:t xml:space="preserve">ependence in the </w:t>
      </w:r>
      <w:r>
        <w:t>E</w:t>
      </w:r>
      <w:r w:rsidRPr="000C7403">
        <w:t xml:space="preserve">uropean </w:t>
      </w:r>
      <w:r>
        <w:t>r</w:t>
      </w:r>
      <w:r w:rsidRPr="000C7403">
        <w:t xml:space="preserve">egions. </w:t>
      </w:r>
      <w:r w:rsidRPr="000C7403">
        <w:rPr>
          <w:i/>
        </w:rPr>
        <w:t>Regional Studies, 46</w:t>
      </w:r>
      <w:r w:rsidRPr="000C7403">
        <w:t>(10), 1401-1416. doi:10.1080/00343404.2010.529288</w:t>
      </w:r>
    </w:p>
    <w:p w:rsidR="00177217" w:rsidRDefault="00177217" w:rsidP="00177217">
      <w:pPr>
        <w:spacing w:line="480" w:lineRule="auto"/>
        <w:ind w:left="720" w:hanging="720"/>
      </w:pPr>
      <w:r w:rsidRPr="00BB6E30">
        <w:t>Schult</w:t>
      </w:r>
      <w:r>
        <w:t xml:space="preserve">z, T. W. (1961). </w:t>
      </w:r>
      <w:proofErr w:type="gramStart"/>
      <w:r>
        <w:t>Investment in human c</w:t>
      </w:r>
      <w:r w:rsidRPr="00BB6E30">
        <w:t>apital.</w:t>
      </w:r>
      <w:proofErr w:type="gramEnd"/>
      <w:r w:rsidRPr="00BB6E30">
        <w:t xml:space="preserve"> </w:t>
      </w:r>
      <w:r>
        <w:rPr>
          <w:i/>
        </w:rPr>
        <w:t>The A</w:t>
      </w:r>
      <w:r w:rsidRPr="00C4561D">
        <w:rPr>
          <w:i/>
        </w:rPr>
        <w:t>merican Economic Review, 51</w:t>
      </w:r>
      <w:r>
        <w:t>(1)</w:t>
      </w:r>
      <w:r w:rsidRPr="00BB6E30">
        <w:t>, 1-17.</w:t>
      </w:r>
    </w:p>
    <w:p w:rsidR="00B33222" w:rsidRDefault="00B33222" w:rsidP="00177217">
      <w:pPr>
        <w:spacing w:line="480" w:lineRule="auto"/>
        <w:ind w:left="720" w:hanging="720"/>
      </w:pPr>
      <w:r w:rsidRPr="00B33222">
        <w:t>Turner, C., Tamura, R., &amp; Mulholland, S. (2013). How important are human capital, physical capital and total factor productivity for determining state economic growth in the United States, 1840-2000</w:t>
      </w:r>
      <w:proofErr w:type="gramStart"/>
      <w:r w:rsidRPr="00B33222">
        <w:t>?.</w:t>
      </w:r>
      <w:proofErr w:type="gramEnd"/>
      <w:r w:rsidRPr="00B33222">
        <w:t xml:space="preserve"> </w:t>
      </w:r>
      <w:r w:rsidRPr="001F55FF">
        <w:rPr>
          <w:i/>
        </w:rPr>
        <w:t xml:space="preserve">Journal </w:t>
      </w:r>
      <w:r w:rsidR="001F55FF" w:rsidRPr="001F55FF">
        <w:rPr>
          <w:i/>
        </w:rPr>
        <w:t>o</w:t>
      </w:r>
      <w:r w:rsidRPr="001F55FF">
        <w:rPr>
          <w:i/>
        </w:rPr>
        <w:t>f Economic Growth, 18</w:t>
      </w:r>
      <w:r w:rsidRPr="00B33222">
        <w:t xml:space="preserve">(4), 319-371. </w:t>
      </w:r>
      <w:proofErr w:type="gramStart"/>
      <w:r w:rsidRPr="00B33222">
        <w:t>doi:</w:t>
      </w:r>
      <w:proofErr w:type="gramEnd"/>
      <w:r w:rsidRPr="00B33222">
        <w:t>10.1007/s10887-013-9090-4</w:t>
      </w:r>
    </w:p>
    <w:p w:rsidR="006C1D76" w:rsidRDefault="006C1D76">
      <w:pPr>
        <w:rPr>
          <w:b/>
          <w:bCs/>
        </w:rPr>
      </w:pPr>
    </w:p>
    <w:p w:rsidR="00E358CA" w:rsidRDefault="00E358CA">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861089" w:rsidTr="00DD6769">
        <w:tc>
          <w:tcPr>
            <w:tcW w:w="2898" w:type="dxa"/>
          </w:tcPr>
          <w:p w:rsidR="00861089" w:rsidRDefault="009B518B" w:rsidP="00DD6769">
            <w:pPr>
              <w:pStyle w:val="Heading2"/>
              <w:outlineLvl w:val="1"/>
            </w:pPr>
            <w:r>
              <w:lastRenderedPageBreak/>
              <w:t>Entry Title (</w:t>
            </w:r>
            <w:r w:rsidR="00861089">
              <w:t>Number</w:t>
            </w:r>
            <w:r>
              <w:t>)</w:t>
            </w:r>
          </w:p>
        </w:tc>
        <w:tc>
          <w:tcPr>
            <w:tcW w:w="6678" w:type="dxa"/>
          </w:tcPr>
          <w:p w:rsidR="00861089" w:rsidRPr="008E592C" w:rsidRDefault="00761F01" w:rsidP="006E780C">
            <w:pPr>
              <w:pStyle w:val="Heading2"/>
              <w:outlineLvl w:val="1"/>
              <w:rPr>
                <w:b w:val="0"/>
              </w:rPr>
            </w:pPr>
            <w:r>
              <w:rPr>
                <w:b w:val="0"/>
                <w:color w:val="000000" w:themeColor="text1"/>
              </w:rPr>
              <w:t xml:space="preserve">Measuring </w:t>
            </w:r>
            <w:r w:rsidR="00C3532F">
              <w:rPr>
                <w:b w:val="0"/>
                <w:color w:val="000000" w:themeColor="text1"/>
              </w:rPr>
              <w:t>Human Capital</w:t>
            </w:r>
            <w:r>
              <w:rPr>
                <w:b w:val="0"/>
                <w:color w:val="000000" w:themeColor="text1"/>
              </w:rPr>
              <w:t>?</w:t>
            </w:r>
            <w:r w:rsidR="00861089">
              <w:rPr>
                <w:b w:val="0"/>
                <w:color w:val="000000" w:themeColor="text1"/>
              </w:rPr>
              <w:t xml:space="preserve"> (#1)</w:t>
            </w:r>
          </w:p>
        </w:tc>
      </w:tr>
      <w:tr w:rsidR="00861089" w:rsidTr="00DD6769">
        <w:tc>
          <w:tcPr>
            <w:tcW w:w="2898" w:type="dxa"/>
          </w:tcPr>
          <w:p w:rsidR="00861089" w:rsidRDefault="00861089" w:rsidP="00DD6769">
            <w:pPr>
              <w:pStyle w:val="Heading2"/>
              <w:outlineLvl w:val="1"/>
            </w:pPr>
            <w:r>
              <w:t>Date</w:t>
            </w:r>
          </w:p>
        </w:tc>
        <w:tc>
          <w:tcPr>
            <w:tcW w:w="6678" w:type="dxa"/>
          </w:tcPr>
          <w:p w:rsidR="00861089" w:rsidRPr="008E592C" w:rsidRDefault="0046323A" w:rsidP="00CC5D10">
            <w:pPr>
              <w:pStyle w:val="Heading2"/>
              <w:outlineLvl w:val="1"/>
              <w:rPr>
                <w:b w:val="0"/>
                <w:color w:val="000000" w:themeColor="text1"/>
              </w:rPr>
            </w:pPr>
            <w:r>
              <w:rPr>
                <w:b w:val="0"/>
                <w:color w:val="000000" w:themeColor="text1"/>
              </w:rPr>
              <w:t>4</w:t>
            </w:r>
            <w:r w:rsidR="00C3532F">
              <w:rPr>
                <w:b w:val="0"/>
                <w:color w:val="000000" w:themeColor="text1"/>
              </w:rPr>
              <w:t>-Feb-2015</w:t>
            </w:r>
          </w:p>
        </w:tc>
      </w:tr>
      <w:tr w:rsidR="00861089" w:rsidTr="00DD6769">
        <w:tc>
          <w:tcPr>
            <w:tcW w:w="2898" w:type="dxa"/>
          </w:tcPr>
          <w:p w:rsidR="00861089" w:rsidRDefault="00861089" w:rsidP="00DD6769">
            <w:pPr>
              <w:pStyle w:val="Heading2"/>
              <w:outlineLvl w:val="1"/>
            </w:pPr>
            <w:r>
              <w:t>Course/Module</w:t>
            </w:r>
          </w:p>
        </w:tc>
        <w:tc>
          <w:tcPr>
            <w:tcW w:w="6678" w:type="dxa"/>
          </w:tcPr>
          <w:p w:rsidR="00861089" w:rsidRPr="008E592C" w:rsidRDefault="00C3532F" w:rsidP="00C3532F">
            <w:pPr>
              <w:pStyle w:val="Heading2"/>
              <w:outlineLvl w:val="1"/>
              <w:rPr>
                <w:b w:val="0"/>
                <w:color w:val="000000" w:themeColor="text1"/>
              </w:rPr>
            </w:pPr>
            <w:r>
              <w:rPr>
                <w:b w:val="0"/>
                <w:color w:val="000000" w:themeColor="text1"/>
              </w:rPr>
              <w:t>OMDE606</w:t>
            </w:r>
            <w:r w:rsidR="002C3ADB">
              <w:rPr>
                <w:b w:val="0"/>
                <w:color w:val="000000" w:themeColor="text1"/>
              </w:rPr>
              <w:t xml:space="preserve">, </w:t>
            </w:r>
            <w:r>
              <w:rPr>
                <w:b w:val="0"/>
                <w:color w:val="000000" w:themeColor="text1"/>
              </w:rPr>
              <w:t>Human Capital</w:t>
            </w:r>
          </w:p>
        </w:tc>
      </w:tr>
      <w:tr w:rsidR="00861089" w:rsidTr="00DD6769">
        <w:tc>
          <w:tcPr>
            <w:tcW w:w="9576" w:type="dxa"/>
            <w:gridSpan w:val="2"/>
          </w:tcPr>
          <w:p w:rsidR="00861089" w:rsidRPr="008E592C" w:rsidRDefault="00861089" w:rsidP="00DD6769">
            <w:pPr>
              <w:pStyle w:val="Heading2"/>
              <w:outlineLvl w:val="1"/>
              <w:rPr>
                <w:b w:val="0"/>
                <w:color w:val="000000" w:themeColor="text1"/>
              </w:rPr>
            </w:pPr>
          </w:p>
        </w:tc>
      </w:tr>
    </w:tbl>
    <w:p w:rsidR="00761F01" w:rsidRDefault="00761F01" w:rsidP="008F4526">
      <w:pPr>
        <w:rPr>
          <w:rFonts w:asciiTheme="minorHAnsi" w:hAnsiTheme="minorHAnsi" w:cstheme="minorHAnsi"/>
        </w:rPr>
      </w:pPr>
      <w:r>
        <w:rPr>
          <w:rFonts w:asciiTheme="minorHAnsi" w:hAnsiTheme="minorHAnsi" w:cstheme="minorHAnsi"/>
          <w:noProof/>
        </w:rPr>
        <w:drawing>
          <wp:inline distT="0" distB="0" distL="0" distR="0">
            <wp:extent cx="381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measure.jpg"/>
                    <pic:cNvPicPr/>
                  </pic:nvPicPr>
                  <pic:blipFill>
                    <a:blip r:embed="rId18">
                      <a:extLst>
                        <a:ext uri="{28A0092B-C50C-407E-A947-70E740481C1C}">
                          <a14:useLocalDpi xmlns:a14="http://schemas.microsoft.com/office/drawing/2010/main" val="0"/>
                        </a:ext>
                      </a:extLst>
                    </a:blip>
                    <a:stretch>
                      <a:fillRect/>
                    </a:stretch>
                  </pic:blipFill>
                  <pic:spPr>
                    <a:xfrm>
                      <a:off x="0" y="0"/>
                      <a:ext cx="3810000" cy="2540000"/>
                    </a:xfrm>
                    <a:prstGeom prst="rect">
                      <a:avLst/>
                    </a:prstGeom>
                  </pic:spPr>
                </pic:pic>
              </a:graphicData>
            </a:graphic>
          </wp:inline>
        </w:drawing>
      </w:r>
    </w:p>
    <w:p w:rsidR="008F4526" w:rsidRPr="009A3F35" w:rsidRDefault="008F4526" w:rsidP="008F4526">
      <w:pPr>
        <w:rPr>
          <w:rFonts w:asciiTheme="minorHAnsi" w:hAnsiTheme="minorHAnsi" w:cstheme="minorHAnsi"/>
        </w:rPr>
      </w:pPr>
      <w:r>
        <w:rPr>
          <w:rFonts w:asciiTheme="minorHAnsi" w:hAnsiTheme="minorHAnsi" w:cstheme="minorHAnsi"/>
        </w:rPr>
        <w:t>At the core, c</w:t>
      </w:r>
      <w:r w:rsidRPr="009A3F35">
        <w:rPr>
          <w:rFonts w:asciiTheme="minorHAnsi" w:hAnsiTheme="minorHAnsi" w:cstheme="minorHAnsi"/>
        </w:rPr>
        <w:t>apital</w:t>
      </w:r>
      <w:r>
        <w:rPr>
          <w:rFonts w:asciiTheme="minorHAnsi" w:hAnsiTheme="minorHAnsi" w:cstheme="minorHAnsi"/>
        </w:rPr>
        <w:t xml:space="preserve"> </w:t>
      </w:r>
      <w:r w:rsidR="00301B0C">
        <w:rPr>
          <w:rFonts w:asciiTheme="minorHAnsi" w:hAnsiTheme="minorHAnsi" w:cstheme="minorHAnsi"/>
        </w:rPr>
        <w:t>has two components. The first component:</w:t>
      </w:r>
      <w:r>
        <w:rPr>
          <w:rFonts w:asciiTheme="minorHAnsi" w:hAnsiTheme="minorHAnsi" w:cstheme="minorHAnsi"/>
        </w:rPr>
        <w:t xml:space="preserve"> “</w:t>
      </w:r>
      <w:r w:rsidRPr="009A3F35">
        <w:rPr>
          <w:rFonts w:asciiTheme="minorHAnsi" w:hAnsiTheme="minorHAnsi" w:cstheme="minorHAnsi"/>
        </w:rPr>
        <w:t>to enhance the productivity of other factors of production</w:t>
      </w:r>
      <w:r>
        <w:rPr>
          <w:rFonts w:asciiTheme="minorHAnsi" w:hAnsiTheme="minorHAnsi" w:cstheme="minorHAnsi"/>
        </w:rPr>
        <w:t>” (Capital, 2015). The second component</w:t>
      </w:r>
      <w:r w:rsidR="00301B0C">
        <w:rPr>
          <w:rFonts w:asciiTheme="minorHAnsi" w:hAnsiTheme="minorHAnsi" w:cstheme="minorHAnsi"/>
        </w:rPr>
        <w:t xml:space="preserve">: </w:t>
      </w:r>
      <w:r>
        <w:rPr>
          <w:rFonts w:asciiTheme="minorHAnsi" w:hAnsiTheme="minorHAnsi" w:cstheme="minorHAnsi"/>
        </w:rPr>
        <w:t>“</w:t>
      </w:r>
      <w:r w:rsidRPr="009A3F35">
        <w:rPr>
          <w:rFonts w:asciiTheme="minorHAnsi" w:hAnsiTheme="minorHAnsi" w:cstheme="minorHAnsi"/>
        </w:rPr>
        <w:t>the reward following from this enhancement</w:t>
      </w:r>
      <w:r>
        <w:rPr>
          <w:rFonts w:asciiTheme="minorHAnsi" w:hAnsiTheme="minorHAnsi" w:cstheme="minorHAnsi"/>
        </w:rPr>
        <w:t>”</w:t>
      </w:r>
      <w:r w:rsidRPr="009A3F35">
        <w:rPr>
          <w:rFonts w:asciiTheme="minorHAnsi" w:hAnsiTheme="minorHAnsi" w:cstheme="minorHAnsi"/>
        </w:rPr>
        <w:t xml:space="preserve"> (Capital, 2015).</w:t>
      </w:r>
    </w:p>
    <w:p w:rsidR="00CE054D" w:rsidRDefault="00CE054D" w:rsidP="00C3532F">
      <w:pPr>
        <w:rPr>
          <w:rFonts w:asciiTheme="minorHAnsi" w:hAnsiTheme="minorHAnsi" w:cstheme="minorHAnsi"/>
        </w:rPr>
      </w:pPr>
      <w:r w:rsidRPr="009A3F35">
        <w:rPr>
          <w:rFonts w:asciiTheme="minorHAnsi" w:hAnsiTheme="minorHAnsi" w:cstheme="minorHAnsi"/>
        </w:rPr>
        <w:t>In this article, Schultz explores how human beings can be considered as a form of capital</w:t>
      </w:r>
      <w:r>
        <w:rPr>
          <w:rFonts w:asciiTheme="minorHAnsi" w:hAnsiTheme="minorHAnsi" w:cstheme="minorHAnsi"/>
        </w:rPr>
        <w:t>.</w:t>
      </w:r>
      <w:r w:rsidR="0046323A">
        <w:rPr>
          <w:rFonts w:asciiTheme="minorHAnsi" w:hAnsiTheme="minorHAnsi" w:cstheme="minorHAnsi"/>
        </w:rPr>
        <w:t xml:space="preserve"> Hu</w:t>
      </w:r>
      <w:r w:rsidR="007B3B97">
        <w:rPr>
          <w:rFonts w:asciiTheme="minorHAnsi" w:hAnsiTheme="minorHAnsi" w:cstheme="minorHAnsi"/>
        </w:rPr>
        <w:t>man beings enhance productivity as</w:t>
      </w:r>
      <w:r>
        <w:rPr>
          <w:rFonts w:asciiTheme="minorHAnsi" w:hAnsiTheme="minorHAnsi" w:cstheme="minorHAnsi"/>
        </w:rPr>
        <w:t xml:space="preserve"> </w:t>
      </w:r>
      <w:r w:rsidR="0046323A">
        <w:rPr>
          <w:rFonts w:asciiTheme="minorHAnsi" w:hAnsiTheme="minorHAnsi" w:cstheme="minorHAnsi"/>
        </w:rPr>
        <w:t>“</w:t>
      </w:r>
      <w:r w:rsidR="007B3B97">
        <w:rPr>
          <w:rFonts w:asciiTheme="minorHAnsi" w:hAnsiTheme="minorHAnsi" w:cstheme="minorHAnsi"/>
        </w:rPr>
        <w:t>t</w:t>
      </w:r>
      <w:r w:rsidR="0046323A">
        <w:rPr>
          <w:rFonts w:asciiTheme="minorHAnsi" w:hAnsiTheme="minorHAnsi" w:cstheme="minorHAnsi"/>
        </w:rPr>
        <w:t xml:space="preserve">he knowledge and skill are in great part combined with other human investment, predominantly account for the productive superiority of the technically advanced countries” (Schultz, 1961, p. 3). </w:t>
      </w:r>
      <w:r w:rsidR="00301B0C">
        <w:rPr>
          <w:rFonts w:asciiTheme="minorHAnsi" w:hAnsiTheme="minorHAnsi" w:cstheme="minorHAnsi"/>
        </w:rPr>
        <w:t xml:space="preserve">The return: </w:t>
      </w:r>
      <w:r>
        <w:rPr>
          <w:rFonts w:asciiTheme="minorHAnsi" w:hAnsiTheme="minorHAnsi" w:cstheme="minorHAnsi"/>
        </w:rPr>
        <w:t xml:space="preserve">“the resulting </w:t>
      </w:r>
      <w:proofErr w:type="gramStart"/>
      <w:r>
        <w:rPr>
          <w:rFonts w:asciiTheme="minorHAnsi" w:hAnsiTheme="minorHAnsi" w:cstheme="minorHAnsi"/>
        </w:rPr>
        <w:t>increase</w:t>
      </w:r>
      <w:proofErr w:type="gramEnd"/>
      <w:r>
        <w:rPr>
          <w:rFonts w:asciiTheme="minorHAnsi" w:hAnsiTheme="minorHAnsi" w:cstheme="minorHAnsi"/>
        </w:rPr>
        <w:t xml:space="preserve"> in earnings” (Schultz, 1961, p. 8). </w:t>
      </w:r>
    </w:p>
    <w:p w:rsidR="002C14C2" w:rsidRDefault="0046323A" w:rsidP="006130E4">
      <w:pPr>
        <w:rPr>
          <w:rFonts w:asciiTheme="minorHAnsi" w:hAnsiTheme="minorHAnsi" w:cstheme="minorHAnsi"/>
        </w:rPr>
      </w:pPr>
      <w:proofErr w:type="gramStart"/>
      <w:r w:rsidRPr="009A3F35">
        <w:rPr>
          <w:rFonts w:asciiTheme="minorHAnsi" w:hAnsiTheme="minorHAnsi" w:cstheme="minorHAnsi"/>
        </w:rPr>
        <w:t>“Economists have long known that people are an important part of the wealth of nations” (Schultz, 1961, p. 2).</w:t>
      </w:r>
      <w:proofErr w:type="gramEnd"/>
      <w:r>
        <w:rPr>
          <w:rFonts w:asciiTheme="minorHAnsi" w:hAnsiTheme="minorHAnsi" w:cstheme="minorHAnsi"/>
        </w:rPr>
        <w:t xml:space="preserve"> I agree. The challenge for </w:t>
      </w:r>
      <w:r w:rsidR="00301B0C">
        <w:rPr>
          <w:rFonts w:asciiTheme="minorHAnsi" w:hAnsiTheme="minorHAnsi" w:cstheme="minorHAnsi"/>
        </w:rPr>
        <w:t>me consists of a way to</w:t>
      </w:r>
      <w:r>
        <w:rPr>
          <w:rFonts w:asciiTheme="minorHAnsi" w:hAnsiTheme="minorHAnsi" w:cstheme="minorHAnsi"/>
        </w:rPr>
        <w:t xml:space="preserve"> meaningfully measure t</w:t>
      </w:r>
      <w:r w:rsidR="00FA08F6">
        <w:rPr>
          <w:rFonts w:asciiTheme="minorHAnsi" w:hAnsiTheme="minorHAnsi" w:cstheme="minorHAnsi"/>
        </w:rPr>
        <w:t>he productivity.</w:t>
      </w:r>
    </w:p>
    <w:p w:rsidR="00FA08F6" w:rsidRPr="0046323A" w:rsidRDefault="00FA08F6" w:rsidP="006130E4">
      <w:pPr>
        <w:rPr>
          <w:rFonts w:asciiTheme="minorHAnsi" w:hAnsiTheme="minorHAnsi" w:cstheme="minorHAnsi"/>
        </w:rPr>
      </w:pPr>
      <w:r>
        <w:rPr>
          <w:rFonts w:asciiTheme="minorHAnsi" w:hAnsiTheme="minorHAnsi" w:cstheme="minorHAnsi"/>
        </w:rPr>
        <w:t xml:space="preserve">When I received my undergraduate degree in Computer Science in 1982, </w:t>
      </w:r>
      <w:r w:rsidR="00301B0C">
        <w:rPr>
          <w:rFonts w:asciiTheme="minorHAnsi" w:hAnsiTheme="minorHAnsi" w:cstheme="minorHAnsi"/>
        </w:rPr>
        <w:t>I could</w:t>
      </w:r>
      <w:r>
        <w:rPr>
          <w:rFonts w:asciiTheme="minorHAnsi" w:hAnsiTheme="minorHAnsi" w:cstheme="minorHAnsi"/>
        </w:rPr>
        <w:t xml:space="preserve"> measure the reward portion of the equation in the form of my higher paycheck. However, quantifying my actual productivity has been </w:t>
      </w:r>
      <w:r w:rsidR="00301B0C">
        <w:rPr>
          <w:rFonts w:asciiTheme="minorHAnsi" w:hAnsiTheme="minorHAnsi" w:cstheme="minorHAnsi"/>
        </w:rPr>
        <w:t>a struggle</w:t>
      </w:r>
      <w:r>
        <w:rPr>
          <w:rFonts w:asciiTheme="minorHAnsi" w:hAnsiTheme="minorHAnsi" w:cstheme="minorHAnsi"/>
        </w:rPr>
        <w:t xml:space="preserve"> throughout my career. How meaningful were my achievements in terms of my organization’s productivity? </w:t>
      </w:r>
      <w:r w:rsidR="00301B0C">
        <w:rPr>
          <w:rFonts w:asciiTheme="minorHAnsi" w:hAnsiTheme="minorHAnsi" w:cstheme="minorHAnsi"/>
        </w:rPr>
        <w:t>My employer, a</w:t>
      </w:r>
      <w:r>
        <w:rPr>
          <w:rFonts w:asciiTheme="minorHAnsi" w:hAnsiTheme="minorHAnsi" w:cstheme="minorHAnsi"/>
        </w:rPr>
        <w:t>t times</w:t>
      </w:r>
      <w:r w:rsidR="00301B0C">
        <w:rPr>
          <w:rFonts w:asciiTheme="minorHAnsi" w:hAnsiTheme="minorHAnsi" w:cstheme="minorHAnsi"/>
        </w:rPr>
        <w:t>, stressed</w:t>
      </w:r>
      <w:r>
        <w:rPr>
          <w:rFonts w:asciiTheme="minorHAnsi" w:hAnsiTheme="minorHAnsi" w:cstheme="minorHAnsi"/>
        </w:rPr>
        <w:t xml:space="preserve"> the accuracy and quality of my work </w:t>
      </w:r>
      <w:r w:rsidR="00301B0C">
        <w:rPr>
          <w:rFonts w:asciiTheme="minorHAnsi" w:hAnsiTheme="minorHAnsi" w:cstheme="minorHAnsi"/>
        </w:rPr>
        <w:t>as more important than</w:t>
      </w:r>
      <w:r>
        <w:rPr>
          <w:rFonts w:asciiTheme="minorHAnsi" w:hAnsiTheme="minorHAnsi" w:cstheme="minorHAnsi"/>
        </w:rPr>
        <w:t xml:space="preserve"> filling a “quota.” At times the opposite </w:t>
      </w:r>
      <w:r w:rsidR="00301B0C">
        <w:rPr>
          <w:rFonts w:asciiTheme="minorHAnsi" w:hAnsiTheme="minorHAnsi" w:cstheme="minorHAnsi"/>
        </w:rPr>
        <w:t>situation existed</w:t>
      </w:r>
      <w:r>
        <w:rPr>
          <w:rFonts w:asciiTheme="minorHAnsi" w:hAnsiTheme="minorHAnsi" w:cstheme="minorHAnsi"/>
        </w:rPr>
        <w:t xml:space="preserve">. In my experience, enhancing productivity </w:t>
      </w:r>
      <w:r w:rsidR="00301B0C">
        <w:rPr>
          <w:rFonts w:asciiTheme="minorHAnsi" w:hAnsiTheme="minorHAnsi" w:cstheme="minorHAnsi"/>
        </w:rPr>
        <w:t>can appear</w:t>
      </w:r>
      <w:r>
        <w:rPr>
          <w:rFonts w:asciiTheme="minorHAnsi" w:hAnsiTheme="minorHAnsi" w:cstheme="minorHAnsi"/>
        </w:rPr>
        <w:t xml:space="preserve"> subjective, a metric at </w:t>
      </w:r>
      <w:r>
        <w:rPr>
          <w:rFonts w:asciiTheme="minorHAnsi" w:hAnsiTheme="minorHAnsi" w:cstheme="minorHAnsi"/>
        </w:rPr>
        <w:lastRenderedPageBreak/>
        <w:t xml:space="preserve">the whim of my supervisor or the larger organization. Unfortunately, once subjectivity </w:t>
      </w:r>
      <w:r w:rsidR="00AA014F">
        <w:rPr>
          <w:rFonts w:asciiTheme="minorHAnsi" w:hAnsiTheme="minorHAnsi" w:cstheme="minorHAnsi"/>
        </w:rPr>
        <w:t xml:space="preserve">walks into the front door, it seems to me that measurement </w:t>
      </w:r>
      <w:r w:rsidR="00301B0C">
        <w:rPr>
          <w:rFonts w:asciiTheme="minorHAnsi" w:hAnsiTheme="minorHAnsi" w:cstheme="minorHAnsi"/>
        </w:rPr>
        <w:t>walks out the back</w:t>
      </w:r>
      <w:r w:rsidR="00AA014F">
        <w:rPr>
          <w:rFonts w:asciiTheme="minorHAnsi" w:hAnsiTheme="minorHAnsi" w:cstheme="minorHAnsi"/>
        </w:rPr>
        <w:t xml:space="preserve">. </w:t>
      </w:r>
    </w:p>
    <w:p w:rsidR="00861089" w:rsidRPr="00CC5D10" w:rsidRDefault="00861089" w:rsidP="006130E4">
      <w:pPr>
        <w:rPr>
          <w:rFonts w:asciiTheme="minorHAnsi" w:hAnsiTheme="minorHAnsi" w:cstheme="minorHAnsi"/>
          <w:b/>
        </w:rPr>
      </w:pPr>
      <w:r w:rsidRPr="00CC5D10">
        <w:rPr>
          <w:rFonts w:asciiTheme="minorHAnsi" w:hAnsiTheme="minorHAnsi" w:cstheme="minorHAnsi"/>
          <w:b/>
        </w:rPr>
        <w:t>REFERENCES</w:t>
      </w:r>
    </w:p>
    <w:p w:rsidR="00C3532F" w:rsidRDefault="00C3532F" w:rsidP="00C3532F">
      <w:pPr>
        <w:spacing w:line="480" w:lineRule="auto"/>
        <w:ind w:left="720" w:hanging="720"/>
      </w:pPr>
      <w:r w:rsidRPr="00BB6E30">
        <w:t>Schult</w:t>
      </w:r>
      <w:r>
        <w:t xml:space="preserve">z, T. W. (1961). </w:t>
      </w:r>
      <w:proofErr w:type="gramStart"/>
      <w:r>
        <w:t>Investment in human c</w:t>
      </w:r>
      <w:r w:rsidRPr="00BB6E30">
        <w:t>apital.</w:t>
      </w:r>
      <w:proofErr w:type="gramEnd"/>
      <w:r w:rsidRPr="00BB6E30">
        <w:t xml:space="preserve"> </w:t>
      </w:r>
      <w:r>
        <w:rPr>
          <w:i/>
        </w:rPr>
        <w:t>The A</w:t>
      </w:r>
      <w:r w:rsidRPr="00C4561D">
        <w:rPr>
          <w:i/>
        </w:rPr>
        <w:t>merican Economic Review, 51</w:t>
      </w:r>
      <w:r>
        <w:t>(1)</w:t>
      </w:r>
      <w:r w:rsidRPr="00BB6E30">
        <w:t>, 1-17.</w:t>
      </w:r>
    </w:p>
    <w:p w:rsidR="00861089" w:rsidRDefault="002C14C2" w:rsidP="00AA014F">
      <w:pPr>
        <w:spacing w:line="480" w:lineRule="auto"/>
        <w:ind w:left="720" w:hanging="720"/>
      </w:pPr>
      <w:r>
        <w:t xml:space="preserve">Capital. (2015). In </w:t>
      </w:r>
      <w:r>
        <w:rPr>
          <w:i/>
        </w:rPr>
        <w:t>A dictionary of business and management</w:t>
      </w:r>
      <w:r>
        <w:t xml:space="preserve">.  </w:t>
      </w:r>
      <w:r w:rsidR="009255CC">
        <w:t xml:space="preserve">Retrieved from </w:t>
      </w:r>
      <w:hyperlink r:id="rId19" w:history="1">
        <w:r w:rsidR="00761F01" w:rsidRPr="009C16BB">
          <w:rPr>
            <w:rStyle w:val="Hyperlink"/>
          </w:rPr>
          <w:t>http://www.oxfordreference.com.ezproxy.umuc.edu/view/10.1093/acref/9780199234899.001.0001/acref-9780199234899-e-934?rskey=fm2mwc&amp;result=1</w:t>
        </w:r>
      </w:hyperlink>
    </w:p>
    <w:p w:rsidR="00761F01" w:rsidRDefault="00761F0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76"/>
      </w:tblGrid>
      <w:tr w:rsidR="00615CBA" w:rsidTr="009F793F">
        <w:tc>
          <w:tcPr>
            <w:tcW w:w="9576" w:type="dxa"/>
          </w:tcPr>
          <w:p w:rsidR="00615CBA" w:rsidRDefault="00327C53" w:rsidP="009F793F">
            <w:pPr>
              <w:pStyle w:val="Heading2"/>
              <w:outlineLvl w:val="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OMDE 606 Online Version at </w:t>
            </w:r>
            <w:r w:rsidR="00761F01" w:rsidRPr="00761F01">
              <w:rPr>
                <w:rFonts w:asciiTheme="minorHAnsi" w:hAnsiTheme="minorHAnsi" w:cstheme="minorHAnsi"/>
                <w:color w:val="000000" w:themeColor="text1"/>
                <w:sz w:val="24"/>
                <w:szCs w:val="24"/>
              </w:rPr>
              <w:t>http://joannedeitsch.com/?cat=33</w:t>
            </w:r>
          </w:p>
          <w:p w:rsidR="00761F01" w:rsidRPr="00761F01" w:rsidRDefault="00761F01" w:rsidP="00761F01"/>
        </w:tc>
      </w:tr>
    </w:tbl>
    <w:p w:rsidR="008E592C" w:rsidRPr="00D632FC" w:rsidRDefault="008E592C" w:rsidP="008E592C">
      <w:pPr>
        <w:pStyle w:val="Heading1"/>
        <w:rPr>
          <w:rFonts w:asciiTheme="minorHAnsi" w:hAnsiTheme="minorHAnsi" w:cstheme="minorHAnsi"/>
          <w:b w:val="0"/>
          <w:color w:val="000000" w:themeColor="text1"/>
          <w:sz w:val="24"/>
          <w:szCs w:val="24"/>
        </w:rPr>
      </w:pPr>
    </w:p>
    <w:sectPr w:rsidR="008E592C" w:rsidRPr="00D632F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2C" w:rsidRDefault="008E592C" w:rsidP="008E592C">
      <w:pPr>
        <w:spacing w:after="0" w:line="240" w:lineRule="auto"/>
      </w:pPr>
      <w:r>
        <w:separator/>
      </w:r>
    </w:p>
  </w:endnote>
  <w:endnote w:type="continuationSeparator" w:id="0">
    <w:p w:rsidR="008E592C" w:rsidRDefault="008E592C" w:rsidP="008E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8E592C">
      <w:tc>
        <w:tcPr>
          <w:tcW w:w="500" w:type="pct"/>
          <w:tcBorders>
            <w:top w:val="single" w:sz="4" w:space="0" w:color="2861A9" w:themeColor="accent2" w:themeShade="BF"/>
          </w:tcBorders>
          <w:shd w:val="clear" w:color="auto" w:fill="2861A9" w:themeFill="accent2" w:themeFillShade="BF"/>
        </w:tcPr>
        <w:p w:rsidR="008E592C" w:rsidRDefault="008E592C">
          <w:pPr>
            <w:pStyle w:val="Footer"/>
            <w:jc w:val="right"/>
            <w:rPr>
              <w:b/>
              <w:bCs/>
              <w:color w:val="FFFFFF" w:themeColor="background1"/>
            </w:rPr>
          </w:pPr>
          <w:r>
            <w:fldChar w:fldCharType="begin"/>
          </w:r>
          <w:r>
            <w:instrText xml:space="preserve"> PAGE   \* MERGEFORMAT </w:instrText>
          </w:r>
          <w:r>
            <w:fldChar w:fldCharType="separate"/>
          </w:r>
          <w:r w:rsidR="00664ECD" w:rsidRPr="00664ECD">
            <w:rPr>
              <w:noProof/>
              <w:color w:val="FFFFFF" w:themeColor="background1"/>
            </w:rPr>
            <w:t>2</w:t>
          </w:r>
          <w:r>
            <w:rPr>
              <w:noProof/>
              <w:color w:val="FFFFFF" w:themeColor="background1"/>
            </w:rPr>
            <w:fldChar w:fldCharType="end"/>
          </w:r>
        </w:p>
      </w:tc>
      <w:tc>
        <w:tcPr>
          <w:tcW w:w="4500" w:type="pct"/>
          <w:tcBorders>
            <w:top w:val="single" w:sz="4" w:space="0" w:color="auto"/>
          </w:tcBorders>
        </w:tcPr>
        <w:p w:rsidR="008E592C" w:rsidRDefault="008E592C" w:rsidP="008E592C">
          <w:pPr>
            <w:pStyle w:val="Footer"/>
          </w:pPr>
          <w:r>
            <w:fldChar w:fldCharType="begin"/>
          </w:r>
          <w:r>
            <w:instrText xml:space="preserve"> STYLEREF  "1"  </w:instrText>
          </w:r>
          <w:r>
            <w:rPr>
              <w:noProof/>
            </w:rPr>
            <w:fldChar w:fldCharType="end"/>
          </w:r>
          <w:r>
            <w:t xml:space="preserve"> | </w:t>
          </w:r>
          <w:sdt>
            <w:sdtPr>
              <w:alias w:val="Company"/>
              <w:id w:val="75914618"/>
              <w:dataBinding w:prefixMappings="xmlns:ns0='http://schemas.openxmlformats.org/officeDocument/2006/extended-properties'" w:xpath="/ns0:Properties[1]/ns0:Company[1]" w:storeItemID="{6668398D-A668-4E3E-A5EB-62B293D839F1}"/>
              <w:text/>
            </w:sdtPr>
            <w:sdtEndPr/>
            <w:sdtContent>
              <w:r>
                <w:t>Course of Study: Masters in Distance Education – Teaching and Training</w:t>
              </w:r>
            </w:sdtContent>
          </w:sdt>
        </w:p>
      </w:tc>
    </w:tr>
  </w:tbl>
  <w:p w:rsidR="008E592C" w:rsidRDefault="008E5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2C" w:rsidRDefault="008E592C" w:rsidP="008E592C">
      <w:pPr>
        <w:spacing w:after="0" w:line="240" w:lineRule="auto"/>
      </w:pPr>
      <w:r>
        <w:separator/>
      </w:r>
    </w:p>
  </w:footnote>
  <w:footnote w:type="continuationSeparator" w:id="0">
    <w:p w:rsidR="008E592C" w:rsidRDefault="008E592C" w:rsidP="008E5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8E592C">
      <w:sdt>
        <w:sdtPr>
          <w:rPr>
            <w:color w:val="FFFFFF" w:themeColor="background1"/>
          </w:rPr>
          <w:alias w:val="Date"/>
          <w:id w:val="77625188"/>
          <w:placeholder>
            <w:docPart w:val="5D0A81B513954ED9859B2B66DD1D9A28"/>
          </w:placeholder>
          <w:dataBinding w:prefixMappings="xmlns:ns0='http://schemas.microsoft.com/office/2006/coverPageProps'" w:xpath="/ns0:CoverPageProperties[1]/ns0:PublishDate[1]" w:storeItemID="{55AF091B-3C7A-41E3-B477-F2FDAA23CFDA}"/>
          <w:date w:fullDate="2015-04-17T00:00:00Z">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2861A9" w:themeFill="accent2" w:themeFillShade="BF"/>
              <w:vAlign w:val="bottom"/>
            </w:tcPr>
            <w:p w:rsidR="008E592C" w:rsidRDefault="007A276D" w:rsidP="00106C10">
              <w:pPr>
                <w:pStyle w:val="Header"/>
                <w:jc w:val="right"/>
                <w:rPr>
                  <w:color w:val="FFFFFF" w:themeColor="background1"/>
                </w:rPr>
              </w:pPr>
              <w:r>
                <w:rPr>
                  <w:color w:val="FFFFFF" w:themeColor="background1"/>
                </w:rPr>
                <w:t>April 17</w:t>
              </w:r>
              <w:r w:rsidR="00C3532F">
                <w:rPr>
                  <w:color w:val="FFFFFF" w:themeColor="background1"/>
                </w:rPr>
                <w:t>, 2015</w:t>
              </w:r>
            </w:p>
          </w:tc>
        </w:sdtContent>
      </w:sdt>
      <w:tc>
        <w:tcPr>
          <w:tcW w:w="4000" w:type="pct"/>
          <w:tcBorders>
            <w:bottom w:val="single" w:sz="4" w:space="0" w:color="auto"/>
          </w:tcBorders>
          <w:vAlign w:val="bottom"/>
        </w:tcPr>
        <w:p w:rsidR="008E592C" w:rsidRDefault="008E592C" w:rsidP="008E592C">
          <w:pPr>
            <w:pStyle w:val="Header"/>
            <w:rPr>
              <w:color w:val="32AD50" w:themeColor="accent3" w:themeShade="BF"/>
            </w:rPr>
          </w:pPr>
          <w:r>
            <w:rPr>
              <w:b/>
              <w:bCs/>
              <w:color w:val="32AD50" w:themeColor="accent3" w:themeShade="BF"/>
            </w:rPr>
            <w:t>[</w:t>
          </w:r>
          <w:sdt>
            <w:sdtPr>
              <w:rPr>
                <w:b/>
                <w:bCs/>
                <w:caps/>
              </w:rPr>
              <w:alias w:val="Title"/>
              <w:id w:val="77625180"/>
              <w:placeholder>
                <w:docPart w:val="02E254581B644B159332E7B781D8F372"/>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rPr>
                <w:t>Joanne deitsch – learning journal</w:t>
              </w:r>
            </w:sdtContent>
          </w:sdt>
          <w:r>
            <w:rPr>
              <w:b/>
              <w:bCs/>
              <w:color w:val="32AD50" w:themeColor="accent3" w:themeShade="BF"/>
            </w:rPr>
            <w:t>]</w:t>
          </w:r>
        </w:p>
      </w:tc>
    </w:tr>
  </w:tbl>
  <w:p w:rsidR="008E592C" w:rsidRDefault="008E5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3C5"/>
    <w:multiLevelType w:val="hybridMultilevel"/>
    <w:tmpl w:val="81C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12FCC"/>
    <w:multiLevelType w:val="hybridMultilevel"/>
    <w:tmpl w:val="9D68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15D2C"/>
    <w:multiLevelType w:val="hybridMultilevel"/>
    <w:tmpl w:val="533A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A3231"/>
    <w:multiLevelType w:val="hybridMultilevel"/>
    <w:tmpl w:val="B9128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156A6"/>
    <w:multiLevelType w:val="hybridMultilevel"/>
    <w:tmpl w:val="9D68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04C9B"/>
    <w:multiLevelType w:val="hybridMultilevel"/>
    <w:tmpl w:val="B6E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23E05"/>
    <w:multiLevelType w:val="hybridMultilevel"/>
    <w:tmpl w:val="EE5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E565B"/>
    <w:multiLevelType w:val="hybridMultilevel"/>
    <w:tmpl w:val="F9361F52"/>
    <w:lvl w:ilvl="0" w:tplc="C66E0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B0187"/>
    <w:multiLevelType w:val="hybridMultilevel"/>
    <w:tmpl w:val="FD4C0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5"/>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2C"/>
    <w:rsid w:val="00084C76"/>
    <w:rsid w:val="00097025"/>
    <w:rsid w:val="000A0229"/>
    <w:rsid w:val="000C756D"/>
    <w:rsid w:val="000D2651"/>
    <w:rsid w:val="000D6F42"/>
    <w:rsid w:val="000E4D4F"/>
    <w:rsid w:val="000E5F3F"/>
    <w:rsid w:val="001065B8"/>
    <w:rsid w:val="00106C10"/>
    <w:rsid w:val="00120F5B"/>
    <w:rsid w:val="00131823"/>
    <w:rsid w:val="00147F42"/>
    <w:rsid w:val="00177217"/>
    <w:rsid w:val="00183227"/>
    <w:rsid w:val="001A251E"/>
    <w:rsid w:val="001A4E4A"/>
    <w:rsid w:val="001C5F8E"/>
    <w:rsid w:val="001F55FF"/>
    <w:rsid w:val="002123AB"/>
    <w:rsid w:val="0022288E"/>
    <w:rsid w:val="00251A6D"/>
    <w:rsid w:val="002C14C2"/>
    <w:rsid w:val="002C3ADB"/>
    <w:rsid w:val="002E13A6"/>
    <w:rsid w:val="00301B0C"/>
    <w:rsid w:val="00325912"/>
    <w:rsid w:val="00327C53"/>
    <w:rsid w:val="00327FBF"/>
    <w:rsid w:val="003555D5"/>
    <w:rsid w:val="0035754A"/>
    <w:rsid w:val="0036083C"/>
    <w:rsid w:val="003803C6"/>
    <w:rsid w:val="0039218A"/>
    <w:rsid w:val="00392CA0"/>
    <w:rsid w:val="00396697"/>
    <w:rsid w:val="003A15E2"/>
    <w:rsid w:val="003A3FDE"/>
    <w:rsid w:val="003A653C"/>
    <w:rsid w:val="003D5E19"/>
    <w:rsid w:val="00403AFD"/>
    <w:rsid w:val="004304BE"/>
    <w:rsid w:val="004358DB"/>
    <w:rsid w:val="0046323A"/>
    <w:rsid w:val="0048057B"/>
    <w:rsid w:val="00495915"/>
    <w:rsid w:val="004A4762"/>
    <w:rsid w:val="004B26DE"/>
    <w:rsid w:val="004C64BA"/>
    <w:rsid w:val="0050215A"/>
    <w:rsid w:val="00557A4C"/>
    <w:rsid w:val="005826B3"/>
    <w:rsid w:val="00591870"/>
    <w:rsid w:val="005C3C69"/>
    <w:rsid w:val="005D3ED5"/>
    <w:rsid w:val="005E2608"/>
    <w:rsid w:val="00601800"/>
    <w:rsid w:val="006130E4"/>
    <w:rsid w:val="00615CBA"/>
    <w:rsid w:val="006220A9"/>
    <w:rsid w:val="006220F8"/>
    <w:rsid w:val="00664ECD"/>
    <w:rsid w:val="00680EC3"/>
    <w:rsid w:val="006951F5"/>
    <w:rsid w:val="006A1D23"/>
    <w:rsid w:val="006A31F6"/>
    <w:rsid w:val="006A6D45"/>
    <w:rsid w:val="006B58D3"/>
    <w:rsid w:val="006B5C90"/>
    <w:rsid w:val="006B5C99"/>
    <w:rsid w:val="006C0F56"/>
    <w:rsid w:val="006C1D76"/>
    <w:rsid w:val="006E780C"/>
    <w:rsid w:val="006F78AA"/>
    <w:rsid w:val="00715420"/>
    <w:rsid w:val="0072009B"/>
    <w:rsid w:val="00725532"/>
    <w:rsid w:val="00731746"/>
    <w:rsid w:val="007512E3"/>
    <w:rsid w:val="00755F5C"/>
    <w:rsid w:val="00760A5B"/>
    <w:rsid w:val="00761F01"/>
    <w:rsid w:val="0077793E"/>
    <w:rsid w:val="0079762B"/>
    <w:rsid w:val="007A276D"/>
    <w:rsid w:val="007A7033"/>
    <w:rsid w:val="007B3B97"/>
    <w:rsid w:val="007C0B5D"/>
    <w:rsid w:val="007D012A"/>
    <w:rsid w:val="007E5EA5"/>
    <w:rsid w:val="007F3405"/>
    <w:rsid w:val="007F6D7C"/>
    <w:rsid w:val="00801E7B"/>
    <w:rsid w:val="00861089"/>
    <w:rsid w:val="008B0BF2"/>
    <w:rsid w:val="008B64D7"/>
    <w:rsid w:val="008C6FD9"/>
    <w:rsid w:val="008E304C"/>
    <w:rsid w:val="008E592C"/>
    <w:rsid w:val="008F4526"/>
    <w:rsid w:val="009255CC"/>
    <w:rsid w:val="00943066"/>
    <w:rsid w:val="0098347B"/>
    <w:rsid w:val="009A1EC1"/>
    <w:rsid w:val="009A3F35"/>
    <w:rsid w:val="009B518B"/>
    <w:rsid w:val="009C483B"/>
    <w:rsid w:val="009C5BCB"/>
    <w:rsid w:val="009F09DE"/>
    <w:rsid w:val="00A02CC2"/>
    <w:rsid w:val="00A02E5A"/>
    <w:rsid w:val="00A1562C"/>
    <w:rsid w:val="00A238FE"/>
    <w:rsid w:val="00A2669A"/>
    <w:rsid w:val="00A55ABC"/>
    <w:rsid w:val="00A70C96"/>
    <w:rsid w:val="00A91E9A"/>
    <w:rsid w:val="00AA014F"/>
    <w:rsid w:val="00AC06D7"/>
    <w:rsid w:val="00AC0A7F"/>
    <w:rsid w:val="00AC1845"/>
    <w:rsid w:val="00AD100F"/>
    <w:rsid w:val="00AE0C07"/>
    <w:rsid w:val="00AE4D0E"/>
    <w:rsid w:val="00AF3543"/>
    <w:rsid w:val="00AF38D1"/>
    <w:rsid w:val="00AF7D52"/>
    <w:rsid w:val="00B01A39"/>
    <w:rsid w:val="00B14329"/>
    <w:rsid w:val="00B33222"/>
    <w:rsid w:val="00B4626F"/>
    <w:rsid w:val="00B4768C"/>
    <w:rsid w:val="00B80466"/>
    <w:rsid w:val="00B85244"/>
    <w:rsid w:val="00B90397"/>
    <w:rsid w:val="00BC5288"/>
    <w:rsid w:val="00BC7C6C"/>
    <w:rsid w:val="00BD585F"/>
    <w:rsid w:val="00BE2915"/>
    <w:rsid w:val="00C10C73"/>
    <w:rsid w:val="00C317BA"/>
    <w:rsid w:val="00C3297B"/>
    <w:rsid w:val="00C3532F"/>
    <w:rsid w:val="00C81480"/>
    <w:rsid w:val="00CA4304"/>
    <w:rsid w:val="00CC5D10"/>
    <w:rsid w:val="00CD4B67"/>
    <w:rsid w:val="00CE054D"/>
    <w:rsid w:val="00CE79F0"/>
    <w:rsid w:val="00D46246"/>
    <w:rsid w:val="00D535B7"/>
    <w:rsid w:val="00D55C94"/>
    <w:rsid w:val="00D632FC"/>
    <w:rsid w:val="00D82859"/>
    <w:rsid w:val="00DB4BD3"/>
    <w:rsid w:val="00DC0960"/>
    <w:rsid w:val="00DE0309"/>
    <w:rsid w:val="00DE35C0"/>
    <w:rsid w:val="00E25CF9"/>
    <w:rsid w:val="00E358CA"/>
    <w:rsid w:val="00E368CF"/>
    <w:rsid w:val="00E961E7"/>
    <w:rsid w:val="00EB38B7"/>
    <w:rsid w:val="00ED248F"/>
    <w:rsid w:val="00EE1DA5"/>
    <w:rsid w:val="00EE3900"/>
    <w:rsid w:val="00F35C1F"/>
    <w:rsid w:val="00F41952"/>
    <w:rsid w:val="00F466E6"/>
    <w:rsid w:val="00F475A2"/>
    <w:rsid w:val="00F508DC"/>
    <w:rsid w:val="00F92262"/>
    <w:rsid w:val="00FA08F6"/>
    <w:rsid w:val="00FA67DA"/>
    <w:rsid w:val="00FB3936"/>
    <w:rsid w:val="00FD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92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8E592C"/>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92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8E592C"/>
    <w:rPr>
      <w:rFonts w:asciiTheme="majorHAnsi" w:eastAsiaTheme="majorEastAsia" w:hAnsiTheme="majorHAnsi" w:cstheme="majorBidi"/>
      <w:b/>
      <w:bCs/>
      <w:color w:val="31B6FD" w:themeColor="accent1"/>
      <w:sz w:val="26"/>
      <w:szCs w:val="26"/>
    </w:rPr>
  </w:style>
  <w:style w:type="paragraph" w:styleId="Header">
    <w:name w:val="header"/>
    <w:basedOn w:val="Normal"/>
    <w:link w:val="HeaderChar"/>
    <w:uiPriority w:val="99"/>
    <w:unhideWhenUsed/>
    <w:rsid w:val="008E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C"/>
  </w:style>
  <w:style w:type="paragraph" w:styleId="Footer">
    <w:name w:val="footer"/>
    <w:basedOn w:val="Normal"/>
    <w:link w:val="FooterChar"/>
    <w:uiPriority w:val="99"/>
    <w:unhideWhenUsed/>
    <w:rsid w:val="008E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C"/>
  </w:style>
  <w:style w:type="paragraph" w:styleId="BalloonText">
    <w:name w:val="Balloon Text"/>
    <w:basedOn w:val="Normal"/>
    <w:link w:val="BalloonTextChar"/>
    <w:uiPriority w:val="99"/>
    <w:semiHidden/>
    <w:unhideWhenUsed/>
    <w:rsid w:val="008E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2C"/>
    <w:rPr>
      <w:rFonts w:ascii="Tahoma" w:hAnsi="Tahoma" w:cs="Tahoma"/>
      <w:sz w:val="16"/>
      <w:szCs w:val="16"/>
    </w:rPr>
  </w:style>
  <w:style w:type="table" w:styleId="TableGrid">
    <w:name w:val="Table Grid"/>
    <w:basedOn w:val="TableNormal"/>
    <w:uiPriority w:val="59"/>
    <w:rsid w:val="008E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51E"/>
    <w:pPr>
      <w:ind w:left="720"/>
      <w:contextualSpacing/>
    </w:pPr>
  </w:style>
  <w:style w:type="character" w:styleId="Hyperlink">
    <w:name w:val="Hyperlink"/>
    <w:basedOn w:val="DefaultParagraphFont"/>
    <w:uiPriority w:val="99"/>
    <w:unhideWhenUsed/>
    <w:rsid w:val="00D82859"/>
    <w:rPr>
      <w:color w:val="0000FF"/>
      <w:u w:val="single"/>
    </w:rPr>
  </w:style>
  <w:style w:type="paragraph" w:styleId="NormalWeb">
    <w:name w:val="Normal (Web)"/>
    <w:basedOn w:val="Normal"/>
    <w:uiPriority w:val="99"/>
    <w:unhideWhenUsed/>
    <w:rsid w:val="0094306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D012A"/>
    <w:rPr>
      <w:i/>
      <w:iCs/>
    </w:rPr>
  </w:style>
  <w:style w:type="character" w:customStyle="1" w:styleId="apple-converted-space">
    <w:name w:val="apple-converted-space"/>
    <w:basedOn w:val="DefaultParagraphFont"/>
    <w:rsid w:val="00AF38D1"/>
  </w:style>
  <w:style w:type="paragraph" w:customStyle="1" w:styleId="Default">
    <w:name w:val="Default"/>
    <w:rsid w:val="00AC1845"/>
    <w:pPr>
      <w:autoSpaceDE w:val="0"/>
      <w:autoSpaceDN w:val="0"/>
      <w:adjustRightInd w:val="0"/>
      <w:spacing w:after="0" w:line="240" w:lineRule="auto"/>
    </w:pPr>
    <w:rPr>
      <w:color w:val="000000"/>
    </w:rPr>
  </w:style>
  <w:style w:type="character" w:customStyle="1" w:styleId="hi">
    <w:name w:val="hi"/>
    <w:basedOn w:val="DefaultParagraphFont"/>
    <w:rsid w:val="002C14C2"/>
  </w:style>
  <w:style w:type="character" w:customStyle="1" w:styleId="availabilityicon">
    <w:name w:val="availabilityicon"/>
    <w:basedOn w:val="DefaultParagraphFont"/>
    <w:rsid w:val="002C14C2"/>
  </w:style>
  <w:style w:type="character" w:customStyle="1" w:styleId="enumerator">
    <w:name w:val="enumerator"/>
    <w:basedOn w:val="DefaultParagraphFont"/>
    <w:rsid w:val="002C14C2"/>
  </w:style>
  <w:style w:type="character" w:customStyle="1" w:styleId="sc">
    <w:name w:val="sc"/>
    <w:basedOn w:val="DefaultParagraphFont"/>
    <w:rsid w:val="002C1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92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8E592C"/>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92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8E592C"/>
    <w:rPr>
      <w:rFonts w:asciiTheme="majorHAnsi" w:eastAsiaTheme="majorEastAsia" w:hAnsiTheme="majorHAnsi" w:cstheme="majorBidi"/>
      <w:b/>
      <w:bCs/>
      <w:color w:val="31B6FD" w:themeColor="accent1"/>
      <w:sz w:val="26"/>
      <w:szCs w:val="26"/>
    </w:rPr>
  </w:style>
  <w:style w:type="paragraph" w:styleId="Header">
    <w:name w:val="header"/>
    <w:basedOn w:val="Normal"/>
    <w:link w:val="HeaderChar"/>
    <w:uiPriority w:val="99"/>
    <w:unhideWhenUsed/>
    <w:rsid w:val="008E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C"/>
  </w:style>
  <w:style w:type="paragraph" w:styleId="Footer">
    <w:name w:val="footer"/>
    <w:basedOn w:val="Normal"/>
    <w:link w:val="FooterChar"/>
    <w:uiPriority w:val="99"/>
    <w:unhideWhenUsed/>
    <w:rsid w:val="008E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C"/>
  </w:style>
  <w:style w:type="paragraph" w:styleId="BalloonText">
    <w:name w:val="Balloon Text"/>
    <w:basedOn w:val="Normal"/>
    <w:link w:val="BalloonTextChar"/>
    <w:uiPriority w:val="99"/>
    <w:semiHidden/>
    <w:unhideWhenUsed/>
    <w:rsid w:val="008E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2C"/>
    <w:rPr>
      <w:rFonts w:ascii="Tahoma" w:hAnsi="Tahoma" w:cs="Tahoma"/>
      <w:sz w:val="16"/>
      <w:szCs w:val="16"/>
    </w:rPr>
  </w:style>
  <w:style w:type="table" w:styleId="TableGrid">
    <w:name w:val="Table Grid"/>
    <w:basedOn w:val="TableNormal"/>
    <w:uiPriority w:val="59"/>
    <w:rsid w:val="008E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51E"/>
    <w:pPr>
      <w:ind w:left="720"/>
      <w:contextualSpacing/>
    </w:pPr>
  </w:style>
  <w:style w:type="character" w:styleId="Hyperlink">
    <w:name w:val="Hyperlink"/>
    <w:basedOn w:val="DefaultParagraphFont"/>
    <w:uiPriority w:val="99"/>
    <w:unhideWhenUsed/>
    <w:rsid w:val="00D82859"/>
    <w:rPr>
      <w:color w:val="0000FF"/>
      <w:u w:val="single"/>
    </w:rPr>
  </w:style>
  <w:style w:type="paragraph" w:styleId="NormalWeb">
    <w:name w:val="Normal (Web)"/>
    <w:basedOn w:val="Normal"/>
    <w:uiPriority w:val="99"/>
    <w:unhideWhenUsed/>
    <w:rsid w:val="0094306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D012A"/>
    <w:rPr>
      <w:i/>
      <w:iCs/>
    </w:rPr>
  </w:style>
  <w:style w:type="character" w:customStyle="1" w:styleId="apple-converted-space">
    <w:name w:val="apple-converted-space"/>
    <w:basedOn w:val="DefaultParagraphFont"/>
    <w:rsid w:val="00AF38D1"/>
  </w:style>
  <w:style w:type="paragraph" w:customStyle="1" w:styleId="Default">
    <w:name w:val="Default"/>
    <w:rsid w:val="00AC1845"/>
    <w:pPr>
      <w:autoSpaceDE w:val="0"/>
      <w:autoSpaceDN w:val="0"/>
      <w:adjustRightInd w:val="0"/>
      <w:spacing w:after="0" w:line="240" w:lineRule="auto"/>
    </w:pPr>
    <w:rPr>
      <w:color w:val="000000"/>
    </w:rPr>
  </w:style>
  <w:style w:type="character" w:customStyle="1" w:styleId="hi">
    <w:name w:val="hi"/>
    <w:basedOn w:val="DefaultParagraphFont"/>
    <w:rsid w:val="002C14C2"/>
  </w:style>
  <w:style w:type="character" w:customStyle="1" w:styleId="availabilityicon">
    <w:name w:val="availabilityicon"/>
    <w:basedOn w:val="DefaultParagraphFont"/>
    <w:rsid w:val="002C14C2"/>
  </w:style>
  <w:style w:type="character" w:customStyle="1" w:styleId="enumerator">
    <w:name w:val="enumerator"/>
    <w:basedOn w:val="DefaultParagraphFont"/>
    <w:rsid w:val="002C14C2"/>
  </w:style>
  <w:style w:type="character" w:customStyle="1" w:styleId="sc">
    <w:name w:val="sc"/>
    <w:basedOn w:val="DefaultParagraphFont"/>
    <w:rsid w:val="002C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4857">
      <w:bodyDiv w:val="1"/>
      <w:marLeft w:val="150"/>
      <w:marRight w:val="150"/>
      <w:marTop w:val="150"/>
      <w:marBottom w:val="150"/>
      <w:divBdr>
        <w:top w:val="none" w:sz="0" w:space="0" w:color="auto"/>
        <w:left w:val="none" w:sz="0" w:space="0" w:color="auto"/>
        <w:bottom w:val="none" w:sz="0" w:space="0" w:color="auto"/>
        <w:right w:val="none" w:sz="0" w:space="0" w:color="auto"/>
      </w:divBdr>
    </w:div>
    <w:div w:id="835923449">
      <w:bodyDiv w:val="1"/>
      <w:marLeft w:val="0"/>
      <w:marRight w:val="0"/>
      <w:marTop w:val="0"/>
      <w:marBottom w:val="0"/>
      <w:divBdr>
        <w:top w:val="none" w:sz="0" w:space="0" w:color="auto"/>
        <w:left w:val="none" w:sz="0" w:space="0" w:color="auto"/>
        <w:bottom w:val="none" w:sz="0" w:space="0" w:color="auto"/>
        <w:right w:val="none" w:sz="0" w:space="0" w:color="auto"/>
      </w:divBdr>
      <w:divsChild>
        <w:div w:id="1466849905">
          <w:marLeft w:val="0"/>
          <w:marRight w:val="0"/>
          <w:marTop w:val="0"/>
          <w:marBottom w:val="0"/>
          <w:divBdr>
            <w:top w:val="none" w:sz="0" w:space="0" w:color="auto"/>
            <w:left w:val="none" w:sz="0" w:space="0" w:color="auto"/>
            <w:bottom w:val="none" w:sz="0" w:space="0" w:color="auto"/>
            <w:right w:val="none" w:sz="0" w:space="0" w:color="auto"/>
          </w:divBdr>
          <w:divsChild>
            <w:div w:id="751662597">
              <w:marLeft w:val="0"/>
              <w:marRight w:val="0"/>
              <w:marTop w:val="0"/>
              <w:marBottom w:val="0"/>
              <w:divBdr>
                <w:top w:val="none" w:sz="0" w:space="0" w:color="auto"/>
                <w:left w:val="none" w:sz="0" w:space="0" w:color="auto"/>
                <w:bottom w:val="none" w:sz="0" w:space="0" w:color="auto"/>
                <w:right w:val="none" w:sz="0" w:space="0" w:color="auto"/>
              </w:divBdr>
              <w:divsChild>
                <w:div w:id="227572602">
                  <w:marLeft w:val="0"/>
                  <w:marRight w:val="0"/>
                  <w:marTop w:val="0"/>
                  <w:marBottom w:val="0"/>
                  <w:divBdr>
                    <w:top w:val="none" w:sz="0" w:space="0" w:color="auto"/>
                    <w:left w:val="none" w:sz="0" w:space="0" w:color="auto"/>
                    <w:bottom w:val="none" w:sz="0" w:space="0" w:color="auto"/>
                    <w:right w:val="none" w:sz="0" w:space="0" w:color="auto"/>
                  </w:divBdr>
                  <w:divsChild>
                    <w:div w:id="266281173">
                      <w:marLeft w:val="0"/>
                      <w:marRight w:val="0"/>
                      <w:marTop w:val="0"/>
                      <w:marBottom w:val="0"/>
                      <w:divBdr>
                        <w:top w:val="none" w:sz="0" w:space="0" w:color="auto"/>
                        <w:left w:val="none" w:sz="0" w:space="0" w:color="auto"/>
                        <w:bottom w:val="none" w:sz="0" w:space="0" w:color="auto"/>
                        <w:right w:val="none" w:sz="0" w:space="0" w:color="auto"/>
                      </w:divBdr>
                      <w:divsChild>
                        <w:div w:id="163782592">
                          <w:marLeft w:val="0"/>
                          <w:marRight w:val="0"/>
                          <w:marTop w:val="0"/>
                          <w:marBottom w:val="0"/>
                          <w:divBdr>
                            <w:top w:val="none" w:sz="0" w:space="0" w:color="auto"/>
                            <w:left w:val="none" w:sz="0" w:space="0" w:color="auto"/>
                            <w:bottom w:val="none" w:sz="0" w:space="0" w:color="auto"/>
                            <w:right w:val="none" w:sz="0" w:space="0" w:color="auto"/>
                          </w:divBdr>
                          <w:divsChild>
                            <w:div w:id="6618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3723">
      <w:bodyDiv w:val="1"/>
      <w:marLeft w:val="0"/>
      <w:marRight w:val="0"/>
      <w:marTop w:val="0"/>
      <w:marBottom w:val="0"/>
      <w:divBdr>
        <w:top w:val="none" w:sz="0" w:space="0" w:color="auto"/>
        <w:left w:val="none" w:sz="0" w:space="0" w:color="auto"/>
        <w:bottom w:val="none" w:sz="0" w:space="0" w:color="auto"/>
        <w:right w:val="none" w:sz="0" w:space="0" w:color="auto"/>
      </w:divBdr>
      <w:divsChild>
        <w:div w:id="1695768327">
          <w:marLeft w:val="0"/>
          <w:marRight w:val="0"/>
          <w:marTop w:val="0"/>
          <w:marBottom w:val="0"/>
          <w:divBdr>
            <w:top w:val="none" w:sz="0" w:space="0" w:color="auto"/>
            <w:left w:val="none" w:sz="0" w:space="0" w:color="auto"/>
            <w:bottom w:val="none" w:sz="0" w:space="0" w:color="auto"/>
            <w:right w:val="none" w:sz="0" w:space="0" w:color="auto"/>
          </w:divBdr>
          <w:divsChild>
            <w:div w:id="1822111340">
              <w:marLeft w:val="0"/>
              <w:marRight w:val="0"/>
              <w:marTop w:val="0"/>
              <w:marBottom w:val="0"/>
              <w:divBdr>
                <w:top w:val="none" w:sz="0" w:space="0" w:color="auto"/>
                <w:left w:val="none" w:sz="0" w:space="0" w:color="auto"/>
                <w:bottom w:val="none" w:sz="0" w:space="0" w:color="auto"/>
                <w:right w:val="none" w:sz="0" w:space="0" w:color="auto"/>
              </w:divBdr>
              <w:divsChild>
                <w:div w:id="175462295">
                  <w:marLeft w:val="0"/>
                  <w:marRight w:val="0"/>
                  <w:marTop w:val="0"/>
                  <w:marBottom w:val="0"/>
                  <w:divBdr>
                    <w:top w:val="none" w:sz="0" w:space="0" w:color="auto"/>
                    <w:left w:val="none" w:sz="0" w:space="0" w:color="auto"/>
                    <w:bottom w:val="none" w:sz="0" w:space="0" w:color="auto"/>
                    <w:right w:val="none" w:sz="0" w:space="0" w:color="auto"/>
                  </w:divBdr>
                  <w:divsChild>
                    <w:div w:id="404568018">
                      <w:marLeft w:val="0"/>
                      <w:marRight w:val="0"/>
                      <w:marTop w:val="0"/>
                      <w:marBottom w:val="0"/>
                      <w:divBdr>
                        <w:top w:val="none" w:sz="0" w:space="0" w:color="auto"/>
                        <w:left w:val="none" w:sz="0" w:space="0" w:color="auto"/>
                        <w:bottom w:val="none" w:sz="0" w:space="0" w:color="auto"/>
                        <w:right w:val="none" w:sz="0" w:space="0" w:color="auto"/>
                      </w:divBdr>
                      <w:divsChild>
                        <w:div w:id="1654722758">
                          <w:marLeft w:val="0"/>
                          <w:marRight w:val="0"/>
                          <w:marTop w:val="0"/>
                          <w:marBottom w:val="0"/>
                          <w:divBdr>
                            <w:top w:val="none" w:sz="0" w:space="0" w:color="auto"/>
                            <w:left w:val="none" w:sz="0" w:space="0" w:color="auto"/>
                            <w:bottom w:val="none" w:sz="0" w:space="0" w:color="auto"/>
                            <w:right w:val="none" w:sz="0" w:space="0" w:color="auto"/>
                          </w:divBdr>
                          <w:divsChild>
                            <w:div w:id="140969640">
                              <w:marLeft w:val="0"/>
                              <w:marRight w:val="0"/>
                              <w:marTop w:val="0"/>
                              <w:marBottom w:val="0"/>
                              <w:divBdr>
                                <w:top w:val="none" w:sz="0" w:space="0" w:color="auto"/>
                                <w:left w:val="none" w:sz="0" w:space="0" w:color="auto"/>
                                <w:bottom w:val="none" w:sz="0" w:space="0" w:color="auto"/>
                                <w:right w:val="none" w:sz="0" w:space="0" w:color="auto"/>
                              </w:divBdr>
                              <w:divsChild>
                                <w:div w:id="101219981">
                                  <w:marLeft w:val="0"/>
                                  <w:marRight w:val="0"/>
                                  <w:marTop w:val="0"/>
                                  <w:marBottom w:val="0"/>
                                  <w:divBdr>
                                    <w:top w:val="none" w:sz="0" w:space="0" w:color="auto"/>
                                    <w:left w:val="none" w:sz="0" w:space="0" w:color="auto"/>
                                    <w:bottom w:val="none" w:sz="0" w:space="0" w:color="auto"/>
                                    <w:right w:val="none" w:sz="0" w:space="0" w:color="auto"/>
                                  </w:divBdr>
                                  <w:divsChild>
                                    <w:div w:id="97414729">
                                      <w:marLeft w:val="0"/>
                                      <w:marRight w:val="0"/>
                                      <w:marTop w:val="0"/>
                                      <w:marBottom w:val="0"/>
                                      <w:divBdr>
                                        <w:top w:val="none" w:sz="0" w:space="0" w:color="auto"/>
                                        <w:left w:val="none" w:sz="0" w:space="0" w:color="auto"/>
                                        <w:bottom w:val="none" w:sz="0" w:space="0" w:color="auto"/>
                                        <w:right w:val="none" w:sz="0" w:space="0" w:color="auto"/>
                                      </w:divBdr>
                                      <w:divsChild>
                                        <w:div w:id="1790856210">
                                          <w:marLeft w:val="0"/>
                                          <w:marRight w:val="0"/>
                                          <w:marTop w:val="0"/>
                                          <w:marBottom w:val="0"/>
                                          <w:divBdr>
                                            <w:top w:val="none" w:sz="0" w:space="0" w:color="auto"/>
                                            <w:left w:val="none" w:sz="0" w:space="0" w:color="auto"/>
                                            <w:bottom w:val="none" w:sz="0" w:space="0" w:color="auto"/>
                                            <w:right w:val="none" w:sz="0" w:space="0" w:color="auto"/>
                                          </w:divBdr>
                                        </w:div>
                                        <w:div w:id="1517693773">
                                          <w:marLeft w:val="0"/>
                                          <w:marRight w:val="0"/>
                                          <w:marTop w:val="0"/>
                                          <w:marBottom w:val="0"/>
                                          <w:divBdr>
                                            <w:top w:val="none" w:sz="0" w:space="0" w:color="auto"/>
                                            <w:left w:val="none" w:sz="0" w:space="0" w:color="auto"/>
                                            <w:bottom w:val="none" w:sz="0" w:space="0" w:color="auto"/>
                                            <w:right w:val="none" w:sz="0" w:space="0" w:color="auto"/>
                                          </w:divBdr>
                                        </w:div>
                                        <w:div w:id="987396091">
                                          <w:marLeft w:val="0"/>
                                          <w:marRight w:val="0"/>
                                          <w:marTop w:val="0"/>
                                          <w:marBottom w:val="0"/>
                                          <w:divBdr>
                                            <w:top w:val="none" w:sz="0" w:space="0" w:color="auto"/>
                                            <w:left w:val="none" w:sz="0" w:space="0" w:color="auto"/>
                                            <w:bottom w:val="none" w:sz="0" w:space="0" w:color="auto"/>
                                            <w:right w:val="none" w:sz="0" w:space="0" w:color="auto"/>
                                          </w:divBdr>
                                        </w:div>
                                        <w:div w:id="19796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84617">
      <w:bodyDiv w:val="1"/>
      <w:marLeft w:val="0"/>
      <w:marRight w:val="0"/>
      <w:marTop w:val="0"/>
      <w:marBottom w:val="0"/>
      <w:divBdr>
        <w:top w:val="none" w:sz="0" w:space="0" w:color="auto"/>
        <w:left w:val="none" w:sz="0" w:space="0" w:color="auto"/>
        <w:bottom w:val="none" w:sz="0" w:space="0" w:color="auto"/>
        <w:right w:val="none" w:sz="0" w:space="0" w:color="auto"/>
      </w:divBdr>
      <w:divsChild>
        <w:div w:id="912934286">
          <w:marLeft w:val="0"/>
          <w:marRight w:val="0"/>
          <w:marTop w:val="0"/>
          <w:marBottom w:val="0"/>
          <w:divBdr>
            <w:top w:val="none" w:sz="0" w:space="0" w:color="auto"/>
            <w:left w:val="none" w:sz="0" w:space="0" w:color="auto"/>
            <w:bottom w:val="none" w:sz="0" w:space="0" w:color="auto"/>
            <w:right w:val="none" w:sz="0" w:space="0" w:color="auto"/>
          </w:divBdr>
          <w:divsChild>
            <w:div w:id="113720559">
              <w:marLeft w:val="0"/>
              <w:marRight w:val="0"/>
              <w:marTop w:val="0"/>
              <w:marBottom w:val="0"/>
              <w:divBdr>
                <w:top w:val="none" w:sz="0" w:space="0" w:color="auto"/>
                <w:left w:val="none" w:sz="0" w:space="0" w:color="auto"/>
                <w:bottom w:val="none" w:sz="0" w:space="0" w:color="auto"/>
                <w:right w:val="none" w:sz="0" w:space="0" w:color="auto"/>
              </w:divBdr>
              <w:divsChild>
                <w:div w:id="509686014">
                  <w:marLeft w:val="0"/>
                  <w:marRight w:val="0"/>
                  <w:marTop w:val="0"/>
                  <w:marBottom w:val="0"/>
                  <w:divBdr>
                    <w:top w:val="none" w:sz="0" w:space="0" w:color="auto"/>
                    <w:left w:val="none" w:sz="0" w:space="0" w:color="auto"/>
                    <w:bottom w:val="none" w:sz="0" w:space="0" w:color="auto"/>
                    <w:right w:val="none" w:sz="0" w:space="0" w:color="auto"/>
                  </w:divBdr>
                  <w:divsChild>
                    <w:div w:id="1004238847">
                      <w:marLeft w:val="0"/>
                      <w:marRight w:val="0"/>
                      <w:marTop w:val="0"/>
                      <w:marBottom w:val="0"/>
                      <w:divBdr>
                        <w:top w:val="none" w:sz="0" w:space="0" w:color="auto"/>
                        <w:left w:val="none" w:sz="0" w:space="0" w:color="auto"/>
                        <w:bottom w:val="none" w:sz="0" w:space="0" w:color="auto"/>
                        <w:right w:val="none" w:sz="0" w:space="0" w:color="auto"/>
                      </w:divBdr>
                      <w:divsChild>
                        <w:div w:id="435364574">
                          <w:marLeft w:val="0"/>
                          <w:marRight w:val="0"/>
                          <w:marTop w:val="0"/>
                          <w:marBottom w:val="0"/>
                          <w:divBdr>
                            <w:top w:val="none" w:sz="0" w:space="0" w:color="auto"/>
                            <w:left w:val="none" w:sz="0" w:space="0" w:color="auto"/>
                            <w:bottom w:val="none" w:sz="0" w:space="0" w:color="auto"/>
                            <w:right w:val="none" w:sz="0" w:space="0" w:color="auto"/>
                          </w:divBdr>
                          <w:divsChild>
                            <w:div w:id="1311328949">
                              <w:marLeft w:val="0"/>
                              <w:marRight w:val="0"/>
                              <w:marTop w:val="0"/>
                              <w:marBottom w:val="0"/>
                              <w:divBdr>
                                <w:top w:val="none" w:sz="0" w:space="0" w:color="auto"/>
                                <w:left w:val="none" w:sz="0" w:space="0" w:color="auto"/>
                                <w:bottom w:val="none" w:sz="0" w:space="0" w:color="auto"/>
                                <w:right w:val="none" w:sz="0" w:space="0" w:color="auto"/>
                              </w:divBdr>
                              <w:divsChild>
                                <w:div w:id="267202812">
                                  <w:marLeft w:val="0"/>
                                  <w:marRight w:val="0"/>
                                  <w:marTop w:val="0"/>
                                  <w:marBottom w:val="0"/>
                                  <w:divBdr>
                                    <w:top w:val="none" w:sz="0" w:space="0" w:color="auto"/>
                                    <w:left w:val="none" w:sz="0" w:space="0" w:color="auto"/>
                                    <w:bottom w:val="none" w:sz="0" w:space="0" w:color="auto"/>
                                    <w:right w:val="none" w:sz="0" w:space="0" w:color="auto"/>
                                  </w:divBdr>
                                  <w:divsChild>
                                    <w:div w:id="1255629614">
                                      <w:marLeft w:val="0"/>
                                      <w:marRight w:val="0"/>
                                      <w:marTop w:val="0"/>
                                      <w:marBottom w:val="0"/>
                                      <w:divBdr>
                                        <w:top w:val="none" w:sz="0" w:space="0" w:color="auto"/>
                                        <w:left w:val="none" w:sz="0" w:space="0" w:color="auto"/>
                                        <w:bottom w:val="none" w:sz="0" w:space="0" w:color="auto"/>
                                        <w:right w:val="none" w:sz="0" w:space="0" w:color="auto"/>
                                      </w:divBdr>
                                      <w:divsChild>
                                        <w:div w:id="16584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6D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Activity-based_costing"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www.oxfordreference.com.ezproxy.umuc.edu/view/10.1093/acref/9780199234899.001.0001/acref-9780199234899-e-934?rskey=fm2mwc&amp;result=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0A81B513954ED9859B2B66DD1D9A28"/>
        <w:category>
          <w:name w:val="General"/>
          <w:gallery w:val="placeholder"/>
        </w:category>
        <w:types>
          <w:type w:val="bbPlcHdr"/>
        </w:types>
        <w:behaviors>
          <w:behavior w:val="content"/>
        </w:behaviors>
        <w:guid w:val="{810FD481-C9E0-4465-9384-523B74021235}"/>
      </w:docPartPr>
      <w:docPartBody>
        <w:p w:rsidR="008558B8" w:rsidRDefault="007B59C7" w:rsidP="007B59C7">
          <w:pPr>
            <w:pStyle w:val="5D0A81B513954ED9859B2B66DD1D9A28"/>
          </w:pPr>
          <w:r>
            <w:rPr>
              <w:color w:val="FFFFFF" w:themeColor="background1"/>
            </w:rPr>
            <w:t>[Pick the date]</w:t>
          </w:r>
        </w:p>
      </w:docPartBody>
    </w:docPart>
    <w:docPart>
      <w:docPartPr>
        <w:name w:val="02E254581B644B159332E7B781D8F372"/>
        <w:category>
          <w:name w:val="General"/>
          <w:gallery w:val="placeholder"/>
        </w:category>
        <w:types>
          <w:type w:val="bbPlcHdr"/>
        </w:types>
        <w:behaviors>
          <w:behavior w:val="content"/>
        </w:behaviors>
        <w:guid w:val="{FFC69062-9066-4DBF-AF35-0D52A2870901}"/>
      </w:docPartPr>
      <w:docPartBody>
        <w:p w:rsidR="008558B8" w:rsidRDefault="007B59C7" w:rsidP="007B59C7">
          <w:pPr>
            <w:pStyle w:val="02E254581B644B159332E7B781D8F372"/>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C7"/>
    <w:rsid w:val="007B59C7"/>
    <w:rsid w:val="0085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A81B513954ED9859B2B66DD1D9A28">
    <w:name w:val="5D0A81B513954ED9859B2B66DD1D9A28"/>
    <w:rsid w:val="007B59C7"/>
  </w:style>
  <w:style w:type="paragraph" w:customStyle="1" w:styleId="02E254581B644B159332E7B781D8F372">
    <w:name w:val="02E254581B644B159332E7B781D8F372"/>
    <w:rsid w:val="007B59C7"/>
  </w:style>
  <w:style w:type="paragraph" w:customStyle="1" w:styleId="CC4A7CA51FDA43EEB60B9CEBDE043727">
    <w:name w:val="CC4A7CA51FDA43EEB60B9CEBDE043727"/>
    <w:rsid w:val="007B5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A81B513954ED9859B2B66DD1D9A28">
    <w:name w:val="5D0A81B513954ED9859B2B66DD1D9A28"/>
    <w:rsid w:val="007B59C7"/>
  </w:style>
  <w:style w:type="paragraph" w:customStyle="1" w:styleId="02E254581B644B159332E7B781D8F372">
    <w:name w:val="02E254581B644B159332E7B781D8F372"/>
    <w:rsid w:val="007B59C7"/>
  </w:style>
  <w:style w:type="paragraph" w:customStyle="1" w:styleId="CC4A7CA51FDA43EEB60B9CEBDE043727">
    <w:name w:val="CC4A7CA51FDA43EEB60B9CEBDE043727"/>
    <w:rsid w:val="007B5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15</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Joanne deitsch – learning journal</vt:lpstr>
    </vt:vector>
  </TitlesOfParts>
  <Company>Course of Study: Masters in Distance Education – Teaching and Training</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Joanne deitsch – learning journal</dc:title>
  <dc:creator>Home</dc:creator>
  <cp:lastModifiedBy>Home</cp:lastModifiedBy>
  <cp:revision>59</cp:revision>
  <dcterms:created xsi:type="dcterms:W3CDTF">2015-02-02T02:39:00Z</dcterms:created>
  <dcterms:modified xsi:type="dcterms:W3CDTF">2015-04-17T20:05:00Z</dcterms:modified>
</cp:coreProperties>
</file>