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6"/>
          <w:szCs w:val="26"/>
        </w:rPr>
        <w:t>FINAL Experiential Mode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6"/>
          <w:szCs w:val="26"/>
        </w:rPr>
        <w:t>Experiential Mode refers to a surrounding environment, specifically a learning environment. This environment may include observable, physical elements such as a computer, students, or a blackboard. This environment may also include non-observable elements that come from within a learner including perceptions of their learning environment. Experiential Mode may also include learning in the context of a real-life situation or learning that occurs through life events. Knowledge results from the combination of grasping and transforming experiences.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6"/>
          <w:szCs w:val="26"/>
        </w:rPr>
        <w:t>An Experiential Mode framework allows an instructional designer to determine the exact observable and non-observable elements that are needed to meet the learning objectives. The designer’s intention for the environment is that it is conducive to a high level of student engagement. The Ex</w:t>
      </w:r>
      <w:r w:rsidR="00AD6F5C">
        <w:rPr>
          <w:rFonts w:ascii="Tahoma" w:hAnsi="Tahoma" w:cs="Tahoma"/>
          <w:sz w:val="26"/>
          <w:szCs w:val="26"/>
        </w:rPr>
        <w:t>periential</w:t>
      </w:r>
      <w:r>
        <w:rPr>
          <w:rFonts w:ascii="Tahoma" w:hAnsi="Tahoma" w:cs="Tahoma"/>
          <w:sz w:val="26"/>
          <w:szCs w:val="26"/>
        </w:rPr>
        <w:t xml:space="preserve"> Mode is often associated with gaming and virtual technology. 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6"/>
          <w:szCs w:val="26"/>
        </w:rPr>
        <w:t>REFERENCES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3"/>
          <w:szCs w:val="23"/>
        </w:rPr>
        <w:t>Appelman</w:t>
      </w:r>
      <w:proofErr w:type="spellEnd"/>
      <w:r>
        <w:rPr>
          <w:rFonts w:ascii="Tahoma" w:hAnsi="Tahoma" w:cs="Tahoma"/>
          <w:sz w:val="23"/>
          <w:szCs w:val="23"/>
        </w:rPr>
        <w:t xml:space="preserve">, R. (2005). </w:t>
      </w:r>
      <w:proofErr w:type="gramStart"/>
      <w:r>
        <w:rPr>
          <w:rFonts w:ascii="Tahoma" w:hAnsi="Tahoma" w:cs="Tahoma"/>
          <w:sz w:val="23"/>
          <w:szCs w:val="23"/>
        </w:rPr>
        <w:t>Designing experiential modes: A key focus for immersive learning environments.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Style w:val="Emphasis"/>
          <w:rFonts w:ascii="Tahoma" w:hAnsi="Tahoma" w:cs="Tahoma"/>
          <w:sz w:val="23"/>
          <w:szCs w:val="23"/>
        </w:rPr>
        <w:t>Techtrends</w:t>
      </w:r>
      <w:proofErr w:type="spellEnd"/>
      <w:r>
        <w:rPr>
          <w:rStyle w:val="Emphasis"/>
          <w:rFonts w:ascii="Tahoma" w:hAnsi="Tahoma" w:cs="Tahoma"/>
          <w:sz w:val="23"/>
          <w:szCs w:val="23"/>
        </w:rPr>
        <w:t>: Linking Research &amp; Practice to Improve Learning</w:t>
      </w:r>
      <w:r>
        <w:rPr>
          <w:rFonts w:ascii="Tahoma" w:hAnsi="Tahoma" w:cs="Tahoma"/>
          <w:sz w:val="23"/>
          <w:szCs w:val="23"/>
        </w:rPr>
        <w:t xml:space="preserve">, </w:t>
      </w:r>
      <w:r>
        <w:rPr>
          <w:rStyle w:val="Emphasis"/>
          <w:rFonts w:ascii="Tahoma" w:hAnsi="Tahoma" w:cs="Tahoma"/>
          <w:sz w:val="23"/>
          <w:szCs w:val="23"/>
        </w:rPr>
        <w:t>49</w:t>
      </w:r>
      <w:r>
        <w:rPr>
          <w:rFonts w:ascii="Tahoma" w:hAnsi="Tahoma" w:cs="Tahoma"/>
          <w:sz w:val="23"/>
          <w:szCs w:val="23"/>
        </w:rPr>
        <w:t xml:space="preserve">(3), 64-74. Retrieved from </w:t>
      </w:r>
      <w:r w:rsidRPr="009528D9">
        <w:rPr>
          <w:rFonts w:ascii="Tahoma" w:hAnsi="Tahoma" w:cs="Tahoma"/>
          <w:sz w:val="23"/>
          <w:szCs w:val="23"/>
        </w:rPr>
        <w:t>http://link.springer.com/journal/11528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3"/>
          <w:szCs w:val="23"/>
        </w:rPr>
        <w:t>Appelman</w:t>
      </w:r>
      <w:proofErr w:type="spellEnd"/>
      <w:r>
        <w:rPr>
          <w:rFonts w:ascii="Tahoma" w:hAnsi="Tahoma" w:cs="Tahoma"/>
          <w:sz w:val="23"/>
          <w:szCs w:val="23"/>
        </w:rPr>
        <w:t xml:space="preserve">, R. (2007, September). </w:t>
      </w:r>
      <w:r>
        <w:rPr>
          <w:rStyle w:val="Emphasis"/>
          <w:rFonts w:ascii="Tahoma" w:hAnsi="Tahoma" w:cs="Tahoma"/>
          <w:sz w:val="23"/>
          <w:szCs w:val="23"/>
        </w:rPr>
        <w:t>Experiential modes of game play</w:t>
      </w:r>
      <w:r>
        <w:rPr>
          <w:rFonts w:ascii="Tahoma" w:hAnsi="Tahoma" w:cs="Tahoma"/>
          <w:sz w:val="23"/>
          <w:szCs w:val="23"/>
        </w:rPr>
        <w:t xml:space="preserve">. Paper presented at the meeting of Digital Games and Research Association, Bloomington, IN. Retrieved from: </w:t>
      </w:r>
      <w:r w:rsidRPr="009528D9">
        <w:rPr>
          <w:rFonts w:ascii="Tahoma" w:hAnsi="Tahoma" w:cs="Tahoma"/>
          <w:sz w:val="23"/>
          <w:szCs w:val="23"/>
        </w:rPr>
        <w:t>http://www.digra.org/wp-content/uploads/digital-library/07311.16497.pdf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3"/>
          <w:szCs w:val="23"/>
        </w:rPr>
        <w:t xml:space="preserve">Chen, C., </w:t>
      </w:r>
      <w:proofErr w:type="spellStart"/>
      <w:r>
        <w:rPr>
          <w:rFonts w:ascii="Tahoma" w:hAnsi="Tahoma" w:cs="Tahoma"/>
          <w:sz w:val="23"/>
          <w:szCs w:val="23"/>
        </w:rPr>
        <w:t>Toh</w:t>
      </w:r>
      <w:proofErr w:type="spellEnd"/>
      <w:r>
        <w:rPr>
          <w:rFonts w:ascii="Tahoma" w:hAnsi="Tahoma" w:cs="Tahoma"/>
          <w:sz w:val="23"/>
          <w:szCs w:val="23"/>
        </w:rPr>
        <w:t>, S., &amp; Ismail, W. (2005).</w:t>
      </w:r>
      <w:proofErr w:type="gramEnd"/>
      <w:r>
        <w:rPr>
          <w:rFonts w:ascii="Tahoma" w:hAnsi="Tahoma" w:cs="Tahoma"/>
          <w:sz w:val="23"/>
          <w:szCs w:val="23"/>
        </w:rPr>
        <w:t xml:space="preserve"> Are learning styles relevant to virtual reality</w:t>
      </w:r>
      <w:proofErr w:type="gramStart"/>
      <w:r>
        <w:rPr>
          <w:rFonts w:ascii="Tahoma" w:hAnsi="Tahoma" w:cs="Tahoma"/>
          <w:sz w:val="23"/>
          <w:szCs w:val="23"/>
        </w:rPr>
        <w:t>?.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r>
        <w:rPr>
          <w:rStyle w:val="Emphasis"/>
          <w:rFonts w:ascii="Tahoma" w:hAnsi="Tahoma" w:cs="Tahoma"/>
          <w:sz w:val="23"/>
          <w:szCs w:val="23"/>
        </w:rPr>
        <w:t>Journal of Research on Technology in Education</w:t>
      </w:r>
      <w:r>
        <w:rPr>
          <w:rFonts w:ascii="Tahoma" w:hAnsi="Tahoma" w:cs="Tahoma"/>
          <w:sz w:val="23"/>
          <w:szCs w:val="23"/>
        </w:rPr>
        <w:t xml:space="preserve">, </w:t>
      </w:r>
      <w:r>
        <w:rPr>
          <w:rStyle w:val="Emphasis"/>
          <w:rFonts w:ascii="Tahoma" w:hAnsi="Tahoma" w:cs="Tahoma"/>
          <w:sz w:val="23"/>
          <w:szCs w:val="23"/>
        </w:rPr>
        <w:t>38</w:t>
      </w:r>
      <w:r>
        <w:rPr>
          <w:rFonts w:ascii="Tahoma" w:hAnsi="Tahoma" w:cs="Tahoma"/>
          <w:sz w:val="23"/>
          <w:szCs w:val="23"/>
        </w:rPr>
        <w:t>(2), 123-141.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3"/>
          <w:szCs w:val="23"/>
        </w:rPr>
        <w:t>Kolb, D. A. (1984).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r>
        <w:rPr>
          <w:rStyle w:val="Emphasis"/>
          <w:rFonts w:ascii="Tahoma" w:hAnsi="Tahoma" w:cs="Tahoma"/>
          <w:sz w:val="23"/>
          <w:szCs w:val="23"/>
        </w:rPr>
        <w:t>Experiential learning: Experience as a source of learning and development</w:t>
      </w:r>
      <w:r>
        <w:rPr>
          <w:rFonts w:ascii="Tahoma" w:hAnsi="Tahoma" w:cs="Tahoma"/>
          <w:sz w:val="23"/>
          <w:szCs w:val="23"/>
        </w:rPr>
        <w:t>. Englewood Cliffs, NJ: Prentice-Hall.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3"/>
          <w:szCs w:val="23"/>
        </w:rPr>
        <w:t>Kolb, A. Y., &amp; Kolb, D. A. (2005).</w:t>
      </w:r>
      <w:proofErr w:type="gramEnd"/>
      <w:r>
        <w:rPr>
          <w:rFonts w:ascii="Tahoma" w:hAnsi="Tahoma" w:cs="Tahoma"/>
          <w:sz w:val="23"/>
          <w:szCs w:val="23"/>
        </w:rPr>
        <w:t xml:space="preserve"> Learning styles and learning spaces: Enhancing experiential learning in higher education. </w:t>
      </w:r>
      <w:r>
        <w:rPr>
          <w:rStyle w:val="Emphasis"/>
          <w:rFonts w:ascii="Tahoma" w:hAnsi="Tahoma" w:cs="Tahoma"/>
          <w:sz w:val="23"/>
          <w:szCs w:val="23"/>
        </w:rPr>
        <w:t>Academy of Management Learning &amp; Education</w:t>
      </w:r>
      <w:r>
        <w:rPr>
          <w:rFonts w:ascii="Tahoma" w:hAnsi="Tahoma" w:cs="Tahoma"/>
          <w:sz w:val="23"/>
          <w:szCs w:val="23"/>
        </w:rPr>
        <w:t xml:space="preserve">, </w:t>
      </w:r>
      <w:r>
        <w:rPr>
          <w:rStyle w:val="Emphasis"/>
          <w:rFonts w:ascii="Tahoma" w:hAnsi="Tahoma" w:cs="Tahoma"/>
          <w:sz w:val="23"/>
          <w:szCs w:val="23"/>
        </w:rPr>
        <w:t>4</w:t>
      </w:r>
      <w:r>
        <w:rPr>
          <w:rFonts w:ascii="Tahoma" w:hAnsi="Tahoma" w:cs="Tahoma"/>
          <w:sz w:val="23"/>
          <w:szCs w:val="23"/>
        </w:rPr>
        <w:t>(2), 193-212. doi:10.5465/AMLE.2005.17268566</w:t>
      </w:r>
    </w:p>
    <w:p w:rsidR="004931BD" w:rsidRDefault="004931BD" w:rsidP="004931BD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3"/>
          <w:szCs w:val="23"/>
        </w:rPr>
        <w:lastRenderedPageBreak/>
        <w:t>Shanmugham</w:t>
      </w:r>
      <w:proofErr w:type="spellEnd"/>
      <w:r>
        <w:rPr>
          <w:rFonts w:ascii="Tahoma" w:hAnsi="Tahoma" w:cs="Tahoma"/>
          <w:sz w:val="23"/>
          <w:szCs w:val="23"/>
        </w:rPr>
        <w:t xml:space="preserve">, M. M., &amp; Kishore, S. S. (2012). </w:t>
      </w:r>
      <w:proofErr w:type="gramStart"/>
      <w:r>
        <w:rPr>
          <w:rFonts w:ascii="Tahoma" w:hAnsi="Tahoma" w:cs="Tahoma"/>
          <w:sz w:val="23"/>
          <w:szCs w:val="23"/>
        </w:rPr>
        <w:t>Integration of prior learning and assessment in the IGNOU community college system for skill development.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r>
        <w:rPr>
          <w:rStyle w:val="Emphasis"/>
          <w:rFonts w:ascii="Tahoma" w:hAnsi="Tahoma" w:cs="Tahoma"/>
          <w:sz w:val="23"/>
          <w:szCs w:val="23"/>
        </w:rPr>
        <w:t>Turkish Online Journal of Distance Education, 13</w:t>
      </w:r>
      <w:r>
        <w:rPr>
          <w:rFonts w:ascii="Tahoma" w:hAnsi="Tahoma" w:cs="Tahoma"/>
          <w:sz w:val="23"/>
          <w:szCs w:val="23"/>
        </w:rPr>
        <w:t xml:space="preserve">(2), 311-321. Retrieved from </w:t>
      </w:r>
      <w:r w:rsidRPr="009528D9">
        <w:rPr>
          <w:rFonts w:ascii="Tahoma" w:hAnsi="Tahoma" w:cs="Tahoma"/>
          <w:sz w:val="23"/>
          <w:szCs w:val="23"/>
        </w:rPr>
        <w:t>http://tojde.anadolu.edu.tr/</w:t>
      </w:r>
      <w:bookmarkStart w:id="0" w:name="_GoBack"/>
      <w:bookmarkEnd w:id="0"/>
    </w:p>
    <w:sectPr w:rsidR="0049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8"/>
    <w:rsid w:val="00125561"/>
    <w:rsid w:val="00142D4F"/>
    <w:rsid w:val="00196BD3"/>
    <w:rsid w:val="002E0250"/>
    <w:rsid w:val="003353E6"/>
    <w:rsid w:val="004931BD"/>
    <w:rsid w:val="0051575B"/>
    <w:rsid w:val="005D00A3"/>
    <w:rsid w:val="006B1410"/>
    <w:rsid w:val="006E59D6"/>
    <w:rsid w:val="00725E28"/>
    <w:rsid w:val="00746756"/>
    <w:rsid w:val="0076679D"/>
    <w:rsid w:val="00801A68"/>
    <w:rsid w:val="00885756"/>
    <w:rsid w:val="009528D9"/>
    <w:rsid w:val="00AD6F5C"/>
    <w:rsid w:val="00BA49F5"/>
    <w:rsid w:val="00C678A7"/>
    <w:rsid w:val="00D43307"/>
    <w:rsid w:val="00DC47CE"/>
    <w:rsid w:val="00F44F13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8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678A7"/>
    <w:pPr>
      <w:keepNext/>
      <w:spacing w:after="240"/>
      <w:outlineLvl w:val="0"/>
    </w:pPr>
    <w:rPr>
      <w:rFonts w:cs="Arial"/>
      <w:b/>
      <w:bCs/>
      <w:color w:val="3399FF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678A7"/>
    <w:pPr>
      <w:keepNext/>
      <w:spacing w:before="240" w:after="120"/>
      <w:outlineLvl w:val="1"/>
    </w:pPr>
    <w:rPr>
      <w:rFonts w:cs="Arial"/>
      <w:b/>
      <w:bCs/>
      <w:iCs/>
      <w:color w:val="3399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678A7"/>
    <w:pPr>
      <w:keepNext/>
      <w:spacing w:before="240" w:after="120"/>
      <w:outlineLvl w:val="2"/>
    </w:pPr>
    <w:rPr>
      <w:rFonts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678A7"/>
    <w:pPr>
      <w:keepNext/>
      <w:spacing w:before="24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78A7"/>
    <w:pPr>
      <w:spacing w:before="240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678A7"/>
    <w:pPr>
      <w:spacing w:before="24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8A7"/>
    <w:rPr>
      <w:rFonts w:ascii="Arial" w:hAnsi="Arial" w:cs="Arial"/>
      <w:b/>
      <w:bCs/>
      <w:color w:val="3399FF"/>
      <w:kern w:val="32"/>
      <w:sz w:val="44"/>
      <w:szCs w:val="44"/>
    </w:rPr>
  </w:style>
  <w:style w:type="character" w:customStyle="1" w:styleId="Heading2Char">
    <w:name w:val="Heading 2 Char"/>
    <w:link w:val="Heading2"/>
    <w:rsid w:val="00C678A7"/>
    <w:rPr>
      <w:rFonts w:ascii="Arial" w:hAnsi="Arial" w:cs="Arial"/>
      <w:b/>
      <w:bCs/>
      <w:iCs/>
      <w:color w:val="3399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678A7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678A7"/>
    <w:rPr>
      <w:rFonts w:ascii="Arial" w:hAnsi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78A7"/>
    <w:rPr>
      <w:rFonts w:ascii="Arial" w:hAnsi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678A7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678A7"/>
    <w:pPr>
      <w:spacing w:before="120" w:after="120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C678A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78A7"/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paragraph" w:styleId="NoSpacing">
    <w:name w:val="No Spacing"/>
    <w:link w:val="NoSpacingChar"/>
    <w:uiPriority w:val="1"/>
    <w:qFormat/>
    <w:rsid w:val="00C678A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78A7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uiPriority w:val="99"/>
    <w:unhideWhenUsed/>
    <w:rsid w:val="00746756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931BD"/>
    <w:rPr>
      <w:i/>
      <w:iCs/>
    </w:rPr>
  </w:style>
  <w:style w:type="character" w:styleId="Strong">
    <w:name w:val="Strong"/>
    <w:basedOn w:val="DefaultParagraphFont"/>
    <w:uiPriority w:val="22"/>
    <w:qFormat/>
    <w:rsid w:val="004931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1BD"/>
    <w:pPr>
      <w:spacing w:before="100" w:beforeAutospacing="1" w:after="360" w:line="36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8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678A7"/>
    <w:pPr>
      <w:keepNext/>
      <w:spacing w:after="240"/>
      <w:outlineLvl w:val="0"/>
    </w:pPr>
    <w:rPr>
      <w:rFonts w:cs="Arial"/>
      <w:b/>
      <w:bCs/>
      <w:color w:val="3399FF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678A7"/>
    <w:pPr>
      <w:keepNext/>
      <w:spacing w:before="240" w:after="120"/>
      <w:outlineLvl w:val="1"/>
    </w:pPr>
    <w:rPr>
      <w:rFonts w:cs="Arial"/>
      <w:b/>
      <w:bCs/>
      <w:iCs/>
      <w:color w:val="3399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678A7"/>
    <w:pPr>
      <w:keepNext/>
      <w:spacing w:before="240" w:after="120"/>
      <w:outlineLvl w:val="2"/>
    </w:pPr>
    <w:rPr>
      <w:rFonts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678A7"/>
    <w:pPr>
      <w:keepNext/>
      <w:spacing w:before="24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78A7"/>
    <w:pPr>
      <w:spacing w:before="240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678A7"/>
    <w:pPr>
      <w:spacing w:before="24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8A7"/>
    <w:rPr>
      <w:rFonts w:ascii="Arial" w:hAnsi="Arial" w:cs="Arial"/>
      <w:b/>
      <w:bCs/>
      <w:color w:val="3399FF"/>
      <w:kern w:val="32"/>
      <w:sz w:val="44"/>
      <w:szCs w:val="44"/>
    </w:rPr>
  </w:style>
  <w:style w:type="character" w:customStyle="1" w:styleId="Heading2Char">
    <w:name w:val="Heading 2 Char"/>
    <w:link w:val="Heading2"/>
    <w:rsid w:val="00C678A7"/>
    <w:rPr>
      <w:rFonts w:ascii="Arial" w:hAnsi="Arial" w:cs="Arial"/>
      <w:b/>
      <w:bCs/>
      <w:iCs/>
      <w:color w:val="3399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678A7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C678A7"/>
    <w:rPr>
      <w:rFonts w:ascii="Arial" w:hAnsi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78A7"/>
    <w:rPr>
      <w:rFonts w:ascii="Arial" w:hAnsi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678A7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678A7"/>
    <w:pPr>
      <w:spacing w:before="120" w:after="120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C678A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78A7"/>
    <w:rPr>
      <w:rFonts w:asciiTheme="majorHAnsi" w:eastAsiaTheme="majorEastAsia" w:hAnsiTheme="majorHAnsi" w:cstheme="majorBidi"/>
      <w:b/>
      <w:bCs/>
      <w:kern w:val="28"/>
      <w:sz w:val="36"/>
      <w:szCs w:val="36"/>
    </w:rPr>
  </w:style>
  <w:style w:type="paragraph" w:styleId="NoSpacing">
    <w:name w:val="No Spacing"/>
    <w:link w:val="NoSpacingChar"/>
    <w:uiPriority w:val="1"/>
    <w:qFormat/>
    <w:rsid w:val="00C678A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78A7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uiPriority w:val="99"/>
    <w:unhideWhenUsed/>
    <w:rsid w:val="00746756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931BD"/>
    <w:rPr>
      <w:i/>
      <w:iCs/>
    </w:rPr>
  </w:style>
  <w:style w:type="character" w:styleId="Strong">
    <w:name w:val="Strong"/>
    <w:basedOn w:val="DefaultParagraphFont"/>
    <w:uiPriority w:val="22"/>
    <w:qFormat/>
    <w:rsid w:val="004931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1BD"/>
    <w:pPr>
      <w:spacing w:before="100" w:beforeAutospacing="1" w:after="360" w:line="36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29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09989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dcterms:created xsi:type="dcterms:W3CDTF">2013-09-05T22:35:00Z</dcterms:created>
  <dcterms:modified xsi:type="dcterms:W3CDTF">2013-09-05T22:35:00Z</dcterms:modified>
</cp:coreProperties>
</file>